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47" w:rsidRDefault="001A4570" w:rsidP="000C6848">
      <w:pPr>
        <w:pStyle w:val="Heading3"/>
      </w:pPr>
      <w:r>
        <w:object w:dxaOrig="9836" w:dyaOrig="8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449.25pt" o:ole="">
            <v:imagedata r:id="rId7" o:title=""/>
          </v:shape>
          <o:OLEObject Type="Embed" ProgID="Excel.Sheet.8" ShapeID="_x0000_i1025" DrawAspect="Content" ObjectID="_1391958081" r:id="rId8"/>
        </w:object>
      </w:r>
    </w:p>
    <w:p w:rsidR="004051BA" w:rsidRDefault="00D73541" w:rsidP="000C6848">
      <w:pPr>
        <w:pStyle w:val="Heading3"/>
      </w:pPr>
      <w:r w:rsidRPr="00AA2D7D">
        <w:rPr>
          <w:rFonts w:ascii="Arial" w:eastAsia="Arial Unicode MS" w:hAnsi="Arial" w:cs="Arial"/>
        </w:rPr>
        <w:object w:dxaOrig="8933" w:dyaOrig="10591">
          <v:shape id="_x0000_i1026" type="#_x0000_t75" style="width:447.75pt;height:527.25pt" o:ole="">
            <v:imagedata r:id="rId9" o:title=""/>
          </v:shape>
          <o:OLEObject Type="Embed" ProgID="Excel.Sheet.8" ShapeID="_x0000_i1026" DrawAspect="Content" ObjectID="_1391958082" r:id="rId10"/>
        </w:object>
      </w:r>
    </w:p>
    <w:p w:rsidR="005913D8" w:rsidRDefault="005913D8" w:rsidP="000C6848">
      <w:pPr>
        <w:pStyle w:val="Heading3"/>
      </w:pPr>
    </w:p>
    <w:p w:rsidR="004A60DA" w:rsidRDefault="00DC084E" w:rsidP="000C6848">
      <w:pPr>
        <w:pStyle w:val="Heading3"/>
      </w:pPr>
      <w:r>
        <w:t>The condensed consolidated balance sheet should be read in conjunction with the Annual Financial Report for</w:t>
      </w:r>
      <w:r w:rsidR="004A60DA">
        <w:t xml:space="preserve"> the year ended 31 December 2010</w:t>
      </w:r>
    </w:p>
    <w:p w:rsidR="00BB0C45" w:rsidRDefault="00383B8F" w:rsidP="000C6848">
      <w:pPr>
        <w:pStyle w:val="Heading3"/>
      </w:pPr>
      <w:r>
        <w:object w:dxaOrig="9327" w:dyaOrig="8407">
          <v:shape id="_x0000_i1027" type="#_x0000_t75" style="width:466.5pt;height:420pt" o:ole="">
            <v:imagedata r:id="rId11" o:title=""/>
          </v:shape>
          <o:OLEObject Type="Embed" ProgID="Excel.Sheet.8" ShapeID="_x0000_i1027" DrawAspect="Content" ObjectID="_1391958083" r:id="rId12"/>
        </w:object>
      </w:r>
    </w:p>
    <w:p w:rsidR="00FE17DC" w:rsidRDefault="00FE17DC" w:rsidP="000C6848">
      <w:pPr>
        <w:pStyle w:val="Heading3"/>
      </w:pPr>
    </w:p>
    <w:p w:rsidR="00FE17DC" w:rsidRDefault="00FE17DC" w:rsidP="000C6848">
      <w:pPr>
        <w:pStyle w:val="Heading3"/>
      </w:pPr>
    </w:p>
    <w:p w:rsidR="00BB0C45" w:rsidRDefault="00BB0C45" w:rsidP="00D10E2B">
      <w:pPr>
        <w:pStyle w:val="Heading3"/>
      </w:pPr>
      <w:r>
        <w:t>The condensed consolidated income statement should be read in conjunction with the Annual Financial Report for</w:t>
      </w:r>
      <w:r w:rsidR="004A60DA">
        <w:t xml:space="preserve"> the year ended 31 December 2010</w:t>
      </w:r>
      <w:r>
        <w:t>.</w:t>
      </w:r>
    </w:p>
    <w:p w:rsidR="00426C3F" w:rsidRDefault="00D62A22" w:rsidP="00DC75D6">
      <w:r>
        <w:object w:dxaOrig="9451" w:dyaOrig="10325">
          <v:shape id="_x0000_i1028" type="#_x0000_t75" style="width:483.75pt;height:501pt" o:ole="">
            <v:imagedata r:id="rId13" o:title=""/>
          </v:shape>
          <o:OLEObject Type="Embed" ProgID="Excel.Sheet.8" ShapeID="_x0000_i1028" DrawAspect="Content" ObjectID="_1391958084" r:id="rId14"/>
        </w:object>
      </w:r>
    </w:p>
    <w:p w:rsidR="006F11E3" w:rsidRPr="00DC75D6" w:rsidRDefault="00BB0C45" w:rsidP="00DC75D6">
      <w:pPr>
        <w:rPr>
          <w:b/>
        </w:rPr>
      </w:pPr>
      <w:r w:rsidRPr="00DC75D6">
        <w:rPr>
          <w:b/>
        </w:rPr>
        <w:t xml:space="preserve">The condensed consolidated </w:t>
      </w:r>
      <w:proofErr w:type="spellStart"/>
      <w:r w:rsidRPr="00DC75D6">
        <w:rPr>
          <w:b/>
        </w:rPr>
        <w:t>cashflow</w:t>
      </w:r>
      <w:proofErr w:type="spellEnd"/>
      <w:r w:rsidRPr="00DC75D6">
        <w:rPr>
          <w:b/>
        </w:rPr>
        <w:t xml:space="preserve"> statement should be read in conjunction with the Annual Financial Report fo</w:t>
      </w:r>
      <w:r w:rsidR="006F11E3" w:rsidRPr="00DC75D6">
        <w:rPr>
          <w:b/>
        </w:rPr>
        <w:t>r the year ended 31 December 2010</w:t>
      </w:r>
      <w:r w:rsidR="00DC75D6">
        <w:rPr>
          <w:b/>
        </w:rPr>
        <w:t>.</w:t>
      </w:r>
    </w:p>
    <w:p w:rsidR="00BB0C45" w:rsidRDefault="005055D0" w:rsidP="000C6848">
      <w:pPr>
        <w:pStyle w:val="Heading3"/>
      </w:pPr>
      <w:r>
        <w:object w:dxaOrig="9859" w:dyaOrig="4745">
          <v:shape id="_x0000_i1029" type="#_x0000_t75" style="width:492.75pt;height:237pt" o:ole="">
            <v:imagedata r:id="rId15" o:title=""/>
          </v:shape>
          <o:OLEObject Type="Embed" ProgID="Excel.Sheet.8" ShapeID="_x0000_i1029" DrawAspect="Content" ObjectID="_1391958085" r:id="rId16"/>
        </w:object>
      </w:r>
    </w:p>
    <w:p w:rsidR="00BB0C45" w:rsidRDefault="00BB0C45" w:rsidP="000C6848">
      <w:pPr>
        <w:pStyle w:val="Heading3"/>
      </w:pPr>
    </w:p>
    <w:p w:rsidR="006F11E3" w:rsidRDefault="00BB0C45" w:rsidP="000C6848">
      <w:pPr>
        <w:pStyle w:val="Heading3"/>
      </w:pPr>
      <w:r>
        <w:t>The condensed consolidated statement of changes in equity should be read in conjunction with the Annual Financial Report for the year ended 31 Decem</w:t>
      </w:r>
      <w:r w:rsidR="006F11E3">
        <w:t>ber 2010</w:t>
      </w:r>
      <w:r w:rsidR="0098509D">
        <w:t>.</w:t>
      </w: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1D4E94" w:rsidP="001D4E94">
      <w:pPr>
        <w:pStyle w:val="Heading3"/>
        <w:tabs>
          <w:tab w:val="left" w:pos="8085"/>
        </w:tabs>
      </w:pPr>
      <w:r>
        <w:tab/>
      </w: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F86E0F" w:rsidRDefault="00F86E0F" w:rsidP="000C6848">
      <w:pPr>
        <w:pStyle w:val="Heading3"/>
      </w:pPr>
    </w:p>
    <w:p w:rsidR="00370FC0" w:rsidRDefault="00370FC0" w:rsidP="000C6848">
      <w:pPr>
        <w:pStyle w:val="Heading3"/>
      </w:pPr>
    </w:p>
    <w:p w:rsidR="00304520" w:rsidRPr="00AA2D7D" w:rsidRDefault="00304520" w:rsidP="00304520">
      <w:pPr>
        <w:pStyle w:val="Heading3"/>
        <w:rPr>
          <w:rFonts w:ascii="Arial" w:eastAsia="Arial Unicode MS" w:hAnsi="Arial" w:cs="Arial"/>
          <w:sz w:val="20"/>
          <w:szCs w:val="20"/>
        </w:rPr>
      </w:pPr>
      <w:r w:rsidRPr="00AA2D7D">
        <w:rPr>
          <w:rFonts w:ascii="Arial" w:eastAsia="Arial Unicode MS" w:hAnsi="Arial" w:cs="Arial"/>
          <w:sz w:val="20"/>
          <w:szCs w:val="20"/>
        </w:rPr>
        <w:t>NOTES TO THE INTERIM FINANCIAL STATEME</w:t>
      </w:r>
      <w:r>
        <w:rPr>
          <w:rFonts w:ascii="Arial" w:eastAsia="Arial Unicode MS" w:hAnsi="Arial" w:cs="Arial"/>
          <w:sz w:val="20"/>
          <w:szCs w:val="20"/>
        </w:rPr>
        <w:t>NTS FOR THE PERIOD ENDED 3</w:t>
      </w:r>
      <w:r w:rsidR="00B04E95">
        <w:rPr>
          <w:rFonts w:ascii="Arial" w:eastAsia="Arial Unicode MS" w:hAnsi="Arial" w:cs="Arial"/>
          <w:sz w:val="20"/>
          <w:szCs w:val="20"/>
        </w:rPr>
        <w:t>1</w:t>
      </w:r>
      <w:r w:rsidR="00426C3F">
        <w:rPr>
          <w:rFonts w:ascii="Arial" w:eastAsia="Arial Unicode MS" w:hAnsi="Arial" w:cs="Arial"/>
          <w:sz w:val="20"/>
          <w:szCs w:val="20"/>
        </w:rPr>
        <w:t xml:space="preserve"> EMBER</w:t>
      </w:r>
      <w:r w:rsidR="00DF036B">
        <w:rPr>
          <w:rFonts w:ascii="Arial" w:eastAsia="Arial Unicode MS" w:hAnsi="Arial" w:cs="Arial"/>
          <w:sz w:val="20"/>
          <w:szCs w:val="20"/>
        </w:rPr>
        <w:t xml:space="preserve"> 2011</w:t>
      </w:r>
    </w:p>
    <w:p w:rsidR="00304520" w:rsidRPr="00AA2D7D" w:rsidRDefault="00304520" w:rsidP="00304520">
      <w:pPr>
        <w:rPr>
          <w:rFonts w:ascii="Arial" w:eastAsia="Arial Unicode MS" w:hAnsi="Arial" w:cs="Arial"/>
          <w:sz w:val="20"/>
          <w:szCs w:val="20"/>
        </w:rPr>
      </w:pPr>
    </w:p>
    <w:p w:rsidR="00304520" w:rsidRDefault="00304520" w:rsidP="00304520">
      <w:pPr>
        <w:pStyle w:val="Heading3"/>
        <w:rPr>
          <w:rFonts w:ascii="Arial" w:eastAsia="Arial Unicode MS" w:hAnsi="Arial" w:cs="Arial"/>
          <w:sz w:val="20"/>
          <w:szCs w:val="20"/>
        </w:rPr>
      </w:pPr>
      <w:r w:rsidRPr="00AA2D7D">
        <w:rPr>
          <w:rFonts w:ascii="Arial" w:eastAsia="Arial Unicode MS" w:hAnsi="Arial" w:cs="Arial"/>
          <w:sz w:val="20"/>
          <w:szCs w:val="20"/>
        </w:rPr>
        <w:t>PART A</w:t>
      </w:r>
      <w:r>
        <w:rPr>
          <w:rFonts w:ascii="Arial" w:eastAsia="Arial Unicode MS" w:hAnsi="Arial" w:cs="Arial"/>
          <w:sz w:val="20"/>
          <w:szCs w:val="20"/>
        </w:rPr>
        <w:tab/>
      </w:r>
      <w:r w:rsidRPr="00AA2D7D">
        <w:rPr>
          <w:rFonts w:ascii="Arial" w:eastAsia="Arial Unicode MS" w:hAnsi="Arial" w:cs="Arial"/>
          <w:sz w:val="20"/>
          <w:szCs w:val="20"/>
        </w:rPr>
        <w:t>- EXPLANATORY NOTES PURSUANT TO FINANCIAL REPORTING STANDARDS</w:t>
      </w:r>
    </w:p>
    <w:p w:rsidR="00304520" w:rsidRPr="00AA2D7D" w:rsidRDefault="00304520" w:rsidP="00304520">
      <w:pPr>
        <w:pStyle w:val="Heading3"/>
        <w:ind w:left="1094" w:firstLine="346"/>
        <w:rPr>
          <w:rFonts w:ascii="Arial" w:eastAsia="Arial Unicode MS" w:hAnsi="Arial" w:cs="Arial"/>
          <w:sz w:val="20"/>
          <w:szCs w:val="20"/>
        </w:rPr>
      </w:pPr>
      <w:r w:rsidRPr="00AA2D7D">
        <w:rPr>
          <w:rFonts w:ascii="Arial" w:eastAsia="Arial Unicode MS" w:hAnsi="Arial" w:cs="Arial"/>
          <w:sz w:val="20"/>
          <w:szCs w:val="20"/>
        </w:rPr>
        <w:t xml:space="preserve">(FRS) 134 </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304520" w:rsidRPr="00AA2D7D">
        <w:rPr>
          <w:rFonts w:ascii="Arial" w:eastAsia="Arial Unicode MS" w:hAnsi="Arial" w:cs="Arial"/>
          <w:sz w:val="20"/>
          <w:szCs w:val="20"/>
        </w:rPr>
        <w:t>1.</w:t>
      </w:r>
      <w:r w:rsidR="00D66043">
        <w:rPr>
          <w:rFonts w:ascii="Arial" w:eastAsia="Arial Unicode MS" w:hAnsi="Arial" w:cs="Arial"/>
          <w:sz w:val="20"/>
          <w:szCs w:val="20"/>
        </w:rPr>
        <w:t xml:space="preserve">  </w:t>
      </w:r>
      <w:r w:rsidR="00304520" w:rsidRPr="00AA2D7D">
        <w:rPr>
          <w:rFonts w:ascii="Arial" w:eastAsia="Arial Unicode MS" w:hAnsi="Arial" w:cs="Arial"/>
          <w:sz w:val="20"/>
          <w:szCs w:val="20"/>
        </w:rPr>
        <w:t>BASIS OF PREPARATION</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 xml:space="preserve">The interim financial statements are unaudited and have been prepared in accordance with the requirements of Financial Reporting Standard (FRS) 134, Interim Financial Reporting issued by the Malaysian Accounting Standards Board (MASB) and paragraph 9.22 and Appendix 9B of the Listing Requirements of Bursa Malaysia Securities </w:t>
      </w:r>
      <w:proofErr w:type="spellStart"/>
      <w:r w:rsidRPr="00AA2D7D">
        <w:rPr>
          <w:rFonts w:ascii="Arial" w:eastAsia="Arial Unicode MS" w:hAnsi="Arial" w:cs="Arial"/>
          <w:sz w:val="20"/>
          <w:szCs w:val="20"/>
        </w:rPr>
        <w:t>Berhad</w:t>
      </w:r>
      <w:proofErr w:type="spellEnd"/>
      <w:r w:rsidRPr="00AA2D7D">
        <w:rPr>
          <w:rFonts w:ascii="Arial" w:eastAsia="Arial Unicode MS" w:hAnsi="Arial" w:cs="Arial"/>
          <w:sz w:val="20"/>
          <w:szCs w:val="20"/>
        </w:rPr>
        <w:t>.</w:t>
      </w:r>
    </w:p>
    <w:p w:rsidR="00304520" w:rsidRPr="00AA2D7D" w:rsidRDefault="00304520" w:rsidP="00304520">
      <w:pPr>
        <w:pStyle w:val="Text"/>
        <w:rPr>
          <w:rFonts w:ascii="Arial" w:eastAsia="Arial Unicode MS" w:hAnsi="Arial" w:cs="Arial"/>
          <w:iCs/>
          <w:sz w:val="20"/>
          <w:szCs w:val="20"/>
        </w:rPr>
      </w:pPr>
      <w:r w:rsidRPr="00AA2D7D">
        <w:rPr>
          <w:rFonts w:ascii="Arial" w:eastAsia="Arial Unicode MS" w:hAnsi="Arial" w:cs="Arial"/>
          <w:sz w:val="20"/>
          <w:szCs w:val="20"/>
        </w:rPr>
        <w:t>The interim financial statements should be read in conjunction with the audited financial statements of the Group for the year ended 31 December 20</w:t>
      </w:r>
      <w:r w:rsidR="00BE3464">
        <w:rPr>
          <w:rFonts w:ascii="Arial" w:eastAsia="Arial Unicode MS" w:hAnsi="Arial" w:cs="Arial"/>
          <w:sz w:val="20"/>
          <w:szCs w:val="20"/>
        </w:rPr>
        <w:t>10</w:t>
      </w:r>
      <w:r w:rsidRPr="00AA2D7D">
        <w:rPr>
          <w:rFonts w:ascii="Arial" w:eastAsia="Arial Unicode MS" w:hAnsi="Arial" w:cs="Arial"/>
          <w:i/>
          <w:iCs/>
          <w:sz w:val="20"/>
          <w:szCs w:val="20"/>
        </w:rPr>
        <w:t>.</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304520" w:rsidRPr="00AA2D7D">
        <w:rPr>
          <w:rFonts w:ascii="Arial" w:eastAsia="Arial Unicode MS" w:hAnsi="Arial" w:cs="Arial"/>
          <w:sz w:val="20"/>
          <w:szCs w:val="20"/>
        </w:rPr>
        <w:t>2.</w:t>
      </w:r>
      <w:r w:rsidR="00304520" w:rsidRPr="00AA2D7D">
        <w:rPr>
          <w:rFonts w:ascii="Arial" w:eastAsia="Arial Unicode MS" w:hAnsi="Arial" w:cs="Arial"/>
          <w:sz w:val="20"/>
          <w:szCs w:val="20"/>
        </w:rPr>
        <w:tab/>
      </w:r>
      <w:r w:rsidR="00D66043">
        <w:rPr>
          <w:rFonts w:ascii="Arial" w:eastAsia="Arial Unicode MS" w:hAnsi="Arial" w:cs="Arial"/>
          <w:sz w:val="20"/>
          <w:szCs w:val="20"/>
        </w:rPr>
        <w:t xml:space="preserve"> </w:t>
      </w:r>
      <w:r w:rsidR="00304520" w:rsidRPr="00AA2D7D">
        <w:rPr>
          <w:rFonts w:ascii="Arial" w:eastAsia="Arial Unicode MS" w:hAnsi="Arial" w:cs="Arial"/>
          <w:sz w:val="20"/>
          <w:szCs w:val="20"/>
        </w:rPr>
        <w:t>CHANGE IN ACCOUNTING POLICIES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 accounting policies and methods of computation adopted by the Group in these quarterly financial statements are consistent with those adopted in the most recent annual audited financial statements for the year ended 31 December 2007, except that the Group has adopted the new/revised standards mandatory for annual periods beginning on or after 1 January 2007, as follows:</w:t>
      </w:r>
    </w:p>
    <w:tbl>
      <w:tblPr>
        <w:tblW w:w="0" w:type="auto"/>
        <w:tblInd w:w="1122" w:type="dxa"/>
        <w:tblBorders>
          <w:top w:val="nil"/>
          <w:left w:val="nil"/>
          <w:bottom w:val="nil"/>
          <w:right w:val="nil"/>
        </w:tblBorders>
        <w:tblLook w:val="0000"/>
      </w:tblPr>
      <w:tblGrid>
        <w:gridCol w:w="2481"/>
        <w:gridCol w:w="5941"/>
      </w:tblGrid>
      <w:tr w:rsidR="00304520" w:rsidRPr="00AA2D7D">
        <w:trPr>
          <w:trHeight w:val="339"/>
        </w:trPr>
        <w:tc>
          <w:tcPr>
            <w:tcW w:w="248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 xml:space="preserve">FRS 117 </w:t>
            </w:r>
          </w:p>
        </w:tc>
        <w:tc>
          <w:tcPr>
            <w:tcW w:w="594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 xml:space="preserve">Leases </w:t>
            </w:r>
          </w:p>
        </w:tc>
      </w:tr>
      <w:tr w:rsidR="00304520" w:rsidRPr="00AA2D7D">
        <w:trPr>
          <w:trHeight w:val="631"/>
        </w:trPr>
        <w:tc>
          <w:tcPr>
            <w:tcW w:w="248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FRS 119</w:t>
            </w:r>
            <w:r w:rsidRPr="00AA2D7D">
              <w:rPr>
                <w:rFonts w:ascii="Arial" w:eastAsia="Arial Unicode MS" w:hAnsi="Arial" w:cs="Arial"/>
                <w:position w:val="-8"/>
                <w:sz w:val="20"/>
                <w:szCs w:val="20"/>
                <w:vertAlign w:val="subscript"/>
              </w:rPr>
              <w:t xml:space="preserve">2004 </w:t>
            </w:r>
            <w:r w:rsidRPr="00AA2D7D">
              <w:rPr>
                <w:rFonts w:ascii="Arial" w:eastAsia="Arial Unicode MS" w:hAnsi="Arial" w:cs="Arial"/>
                <w:sz w:val="20"/>
                <w:szCs w:val="20"/>
              </w:rPr>
              <w:t xml:space="preserve">(Revised) </w:t>
            </w:r>
          </w:p>
        </w:tc>
        <w:tc>
          <w:tcPr>
            <w:tcW w:w="594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 xml:space="preserve">Employee Benefits – Actuarial Gains and Losses, Group Plans and Disclosures </w:t>
            </w:r>
          </w:p>
        </w:tc>
      </w:tr>
      <w:tr w:rsidR="00304520" w:rsidRPr="00AA2D7D">
        <w:trPr>
          <w:trHeight w:val="339"/>
        </w:trPr>
        <w:tc>
          <w:tcPr>
            <w:tcW w:w="248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 xml:space="preserve">FRS 124 </w:t>
            </w:r>
          </w:p>
        </w:tc>
        <w:tc>
          <w:tcPr>
            <w:tcW w:w="5941" w:type="dxa"/>
            <w:tcMar>
              <w:left w:w="0" w:type="dxa"/>
              <w:right w:w="115" w:type="dxa"/>
            </w:tcMar>
            <w:vAlign w:val="center"/>
          </w:tcPr>
          <w:p w:rsidR="00304520" w:rsidRPr="00AA2D7D" w:rsidRDefault="00304520" w:rsidP="00B41FB9">
            <w:pPr>
              <w:rPr>
                <w:rFonts w:ascii="Arial" w:eastAsia="Arial Unicode MS" w:hAnsi="Arial" w:cs="Arial"/>
                <w:sz w:val="20"/>
                <w:szCs w:val="20"/>
              </w:rPr>
            </w:pPr>
            <w:r w:rsidRPr="00AA2D7D">
              <w:rPr>
                <w:rFonts w:ascii="Arial" w:eastAsia="Arial Unicode MS" w:hAnsi="Arial" w:cs="Arial"/>
                <w:sz w:val="20"/>
                <w:szCs w:val="20"/>
              </w:rPr>
              <w:t xml:space="preserve">Related Party Disclosures </w:t>
            </w:r>
          </w:p>
        </w:tc>
      </w:tr>
    </w:tbl>
    <w:p w:rsidR="00304520" w:rsidRPr="00AA2D7D" w:rsidRDefault="00304520" w:rsidP="00304520">
      <w:pPr>
        <w:rPr>
          <w:rFonts w:ascii="Arial" w:eastAsia="Arial Unicode MS" w:hAnsi="Arial" w:cs="Arial"/>
          <w:sz w:val="20"/>
          <w:szCs w:val="20"/>
        </w:rPr>
      </w:pP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 xml:space="preserve">The adoption of the above FRSs does not have any significant financial impact on the Group. </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010436">
        <w:rPr>
          <w:rFonts w:ascii="Arial" w:eastAsia="Arial Unicode MS" w:hAnsi="Arial" w:cs="Arial"/>
          <w:sz w:val="20"/>
          <w:szCs w:val="20"/>
        </w:rPr>
        <w:t xml:space="preserve">3.  </w:t>
      </w:r>
      <w:r w:rsidR="00304520">
        <w:rPr>
          <w:rFonts w:ascii="Arial" w:eastAsia="Arial Unicode MS" w:hAnsi="Arial" w:cs="Arial"/>
          <w:sz w:val="20"/>
          <w:szCs w:val="20"/>
        </w:rPr>
        <w:t xml:space="preserve">STATUS OF </w:t>
      </w:r>
      <w:r w:rsidR="00304520" w:rsidRPr="00AA2D7D">
        <w:rPr>
          <w:rFonts w:ascii="Arial" w:eastAsia="Arial Unicode MS" w:hAnsi="Arial" w:cs="Arial"/>
          <w:sz w:val="20"/>
          <w:szCs w:val="20"/>
        </w:rPr>
        <w:t xml:space="preserve">AUDIT </w:t>
      </w:r>
      <w:r w:rsidR="00304520">
        <w:rPr>
          <w:rFonts w:ascii="Arial" w:eastAsia="Arial Unicode MS" w:hAnsi="Arial" w:cs="Arial"/>
          <w:sz w:val="20"/>
          <w:szCs w:val="20"/>
        </w:rPr>
        <w:t>QUALIFICATIONS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 annual financial statements of the Group for</w:t>
      </w:r>
      <w:r w:rsidR="00C92260">
        <w:rPr>
          <w:rFonts w:ascii="Arial" w:eastAsia="Arial Unicode MS" w:hAnsi="Arial" w:cs="Arial"/>
          <w:sz w:val="20"/>
          <w:szCs w:val="20"/>
        </w:rPr>
        <w:t xml:space="preserve"> the year ended 31 December 2010</w:t>
      </w:r>
      <w:r w:rsidRPr="00AA2D7D">
        <w:rPr>
          <w:rFonts w:ascii="Arial" w:eastAsia="Arial Unicode MS" w:hAnsi="Arial" w:cs="Arial"/>
          <w:sz w:val="20"/>
          <w:szCs w:val="20"/>
        </w:rPr>
        <w:t xml:space="preserve"> were qualified.</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Details of the Audit Qualification are as follows:-</w:t>
      </w:r>
    </w:p>
    <w:p w:rsidR="00F931A9" w:rsidRDefault="00F931A9" w:rsidP="00C92260">
      <w:pPr>
        <w:rPr>
          <w:rFonts w:ascii="Arial" w:hAnsi="Arial" w:cs="Arial"/>
          <w:b/>
          <w:iCs/>
          <w:sz w:val="20"/>
          <w:szCs w:val="20"/>
        </w:rPr>
      </w:pPr>
    </w:p>
    <w:p w:rsidR="00C92260" w:rsidRPr="00C92260" w:rsidRDefault="00C92260" w:rsidP="00C92260">
      <w:pPr>
        <w:rPr>
          <w:rFonts w:ascii="Arial" w:hAnsi="Arial" w:cs="Arial"/>
          <w:b/>
          <w:bCs/>
          <w:sz w:val="20"/>
          <w:szCs w:val="20"/>
        </w:rPr>
      </w:pPr>
      <w:r w:rsidRPr="00C92260">
        <w:rPr>
          <w:rFonts w:ascii="Arial" w:hAnsi="Arial" w:cs="Arial"/>
          <w:b/>
          <w:iCs/>
          <w:sz w:val="20"/>
          <w:szCs w:val="20"/>
        </w:rPr>
        <w:t>Basis for qualified opinion</w:t>
      </w:r>
    </w:p>
    <w:p w:rsidR="00F931A9" w:rsidRDefault="00F931A9" w:rsidP="00C92260">
      <w:pPr>
        <w:rPr>
          <w:rFonts w:ascii="Arial" w:eastAsia="Calibri" w:hAnsi="Arial" w:cs="Arial"/>
          <w:sz w:val="20"/>
          <w:szCs w:val="20"/>
        </w:rPr>
      </w:pPr>
    </w:p>
    <w:p w:rsidR="00C92260" w:rsidRPr="00C92260" w:rsidRDefault="00C92260" w:rsidP="00C92260">
      <w:pPr>
        <w:rPr>
          <w:rFonts w:ascii="Arial" w:hAnsi="Arial" w:cs="Arial"/>
          <w:b/>
          <w:bCs/>
          <w:i/>
          <w:sz w:val="20"/>
          <w:szCs w:val="20"/>
        </w:rPr>
      </w:pPr>
      <w:r w:rsidRPr="00C92260">
        <w:rPr>
          <w:rFonts w:ascii="Arial" w:eastAsia="Calibri" w:hAnsi="Arial" w:cs="Arial"/>
          <w:sz w:val="20"/>
          <w:szCs w:val="20"/>
        </w:rPr>
        <w:t xml:space="preserve">As discussed in Note </w:t>
      </w:r>
      <w:r w:rsidR="0098509D">
        <w:rPr>
          <w:rFonts w:ascii="Arial" w:eastAsia="Calibri" w:hAnsi="Arial" w:cs="Arial"/>
          <w:sz w:val="20"/>
          <w:szCs w:val="20"/>
        </w:rPr>
        <w:t>A</w:t>
      </w:r>
      <w:r w:rsidRPr="00C92260">
        <w:rPr>
          <w:rFonts w:ascii="Arial" w:eastAsia="Calibri" w:hAnsi="Arial" w:cs="Arial"/>
          <w:sz w:val="20"/>
          <w:szCs w:val="20"/>
        </w:rPr>
        <w:t>5 to the financial statements, t</w:t>
      </w:r>
      <w:r w:rsidRPr="00C92260">
        <w:rPr>
          <w:rFonts w:ascii="Arial" w:hAnsi="Arial" w:cs="Arial"/>
          <w:sz w:val="20"/>
          <w:szCs w:val="20"/>
        </w:rPr>
        <w:t>he audited financial statements of one of the subsidiaries, Ark Thai Company Limited, were not made available to us. The cost of investment in this subsidiary amounted to RM1.6 million. The loss for the financial year of RM9</w:t>
      </w:r>
      <w:proofErr w:type="gramStart"/>
      <w:r w:rsidRPr="00C92260">
        <w:rPr>
          <w:rFonts w:ascii="Arial" w:hAnsi="Arial" w:cs="Arial"/>
          <w:sz w:val="20"/>
          <w:szCs w:val="20"/>
        </w:rPr>
        <w:t>,735</w:t>
      </w:r>
      <w:proofErr w:type="gramEnd"/>
      <w:r w:rsidRPr="00C92260">
        <w:rPr>
          <w:rFonts w:ascii="Arial" w:hAnsi="Arial" w:cs="Arial"/>
          <w:sz w:val="20"/>
          <w:szCs w:val="20"/>
        </w:rPr>
        <w:t xml:space="preserve"> and the deficit in shareholders’ funds of RM2.3 million of this subsidiary which have been included in the consolidated financial statements of the Group. As the audited financial statements of this subsidiary are not available to us, we are unable to ascertain the possible adjustments, if </w:t>
      </w:r>
      <w:proofErr w:type="gramStart"/>
      <w:r w:rsidRPr="00C92260">
        <w:rPr>
          <w:rFonts w:ascii="Arial" w:hAnsi="Arial" w:cs="Arial"/>
          <w:sz w:val="20"/>
          <w:szCs w:val="20"/>
        </w:rPr>
        <w:t>any,</w:t>
      </w:r>
      <w:proofErr w:type="gramEnd"/>
      <w:r w:rsidRPr="00C92260">
        <w:rPr>
          <w:rFonts w:ascii="Arial" w:hAnsi="Arial" w:cs="Arial"/>
          <w:sz w:val="20"/>
          <w:szCs w:val="20"/>
        </w:rPr>
        <w:t xml:space="preserve"> to the consolidated financial </w:t>
      </w:r>
      <w:r w:rsidRPr="00C92260">
        <w:rPr>
          <w:rFonts w:ascii="Arial" w:hAnsi="Arial" w:cs="Arial"/>
          <w:sz w:val="20"/>
          <w:szCs w:val="20"/>
        </w:rPr>
        <w:lastRenderedPageBreak/>
        <w:t>statements that might have been necessary should the audited financial statements of the said subsidiary have been made available.</w:t>
      </w:r>
    </w:p>
    <w:p w:rsidR="00C92260" w:rsidRPr="00C92260" w:rsidRDefault="00C92260" w:rsidP="00C92260">
      <w:pPr>
        <w:rPr>
          <w:rFonts w:ascii="Arial" w:hAnsi="Arial" w:cs="Arial"/>
          <w:b/>
          <w:bCs/>
          <w:i/>
          <w:sz w:val="20"/>
          <w:szCs w:val="20"/>
        </w:rPr>
      </w:pPr>
    </w:p>
    <w:p w:rsidR="00C92260" w:rsidRPr="00C92260" w:rsidRDefault="00C92260" w:rsidP="00C92260">
      <w:pPr>
        <w:autoSpaceDE w:val="0"/>
        <w:autoSpaceDN w:val="0"/>
        <w:adjustRightInd w:val="0"/>
        <w:rPr>
          <w:rFonts w:ascii="Arial" w:eastAsia="Calibri" w:hAnsi="Arial" w:cs="Arial"/>
          <w:b/>
          <w:iCs/>
          <w:sz w:val="20"/>
          <w:szCs w:val="20"/>
        </w:rPr>
      </w:pPr>
      <w:r w:rsidRPr="00C92260">
        <w:rPr>
          <w:rFonts w:ascii="Arial" w:eastAsia="Calibri" w:hAnsi="Arial" w:cs="Arial"/>
          <w:b/>
          <w:iCs/>
          <w:sz w:val="20"/>
          <w:szCs w:val="20"/>
        </w:rPr>
        <w:t>Qualified opinion</w:t>
      </w:r>
    </w:p>
    <w:p w:rsidR="00C92260" w:rsidRPr="00C92260" w:rsidRDefault="00C92260" w:rsidP="00C92260">
      <w:pPr>
        <w:autoSpaceDE w:val="0"/>
        <w:autoSpaceDN w:val="0"/>
        <w:adjustRightInd w:val="0"/>
        <w:rPr>
          <w:rFonts w:ascii="Arial" w:eastAsia="Calibri" w:hAnsi="Arial" w:cs="Arial"/>
          <w:sz w:val="20"/>
          <w:szCs w:val="20"/>
        </w:rPr>
      </w:pPr>
    </w:p>
    <w:p w:rsidR="00C92260" w:rsidRPr="00C92260" w:rsidRDefault="00C92260" w:rsidP="00C92260">
      <w:pPr>
        <w:rPr>
          <w:rFonts w:ascii="Arial" w:hAnsi="Arial" w:cs="Arial"/>
          <w:b/>
          <w:bCs/>
          <w:i/>
          <w:sz w:val="20"/>
          <w:szCs w:val="20"/>
        </w:rPr>
      </w:pPr>
      <w:r w:rsidRPr="00C92260">
        <w:rPr>
          <w:rFonts w:ascii="Arial" w:eastAsia="Calibri" w:hAnsi="Arial" w:cs="Arial"/>
          <w:sz w:val="20"/>
          <w:szCs w:val="20"/>
        </w:rPr>
        <w:t>In our opinion, except for the effects of the matter described in the Basis for Qualified Opinion paragraph, the financial statements have been properly drawn up in accordance with Financial Reporting Standards and the Companies Act 1965 in Malaysia so as to give a true and fair view of the financial position of the Group and of the Company as of 31 December 2010 and of its financial performance and cash flows for the year then ended.</w:t>
      </w:r>
    </w:p>
    <w:p w:rsidR="00C92260" w:rsidRPr="00C92260" w:rsidRDefault="00C92260" w:rsidP="00C92260">
      <w:pPr>
        <w:rPr>
          <w:rFonts w:ascii="Arial" w:hAnsi="Arial" w:cs="Arial"/>
          <w:b/>
          <w:bCs/>
          <w:i/>
          <w:sz w:val="20"/>
          <w:szCs w:val="20"/>
        </w:rPr>
      </w:pPr>
    </w:p>
    <w:p w:rsidR="00C92260" w:rsidRPr="00C92260" w:rsidRDefault="00C92260" w:rsidP="00C92260">
      <w:pPr>
        <w:rPr>
          <w:rFonts w:ascii="Arial" w:hAnsi="Arial" w:cs="Arial"/>
          <w:b/>
          <w:bCs/>
          <w:sz w:val="20"/>
          <w:szCs w:val="20"/>
        </w:rPr>
      </w:pPr>
      <w:r w:rsidRPr="00C92260">
        <w:rPr>
          <w:rFonts w:ascii="Arial" w:hAnsi="Arial" w:cs="Arial"/>
          <w:b/>
          <w:bCs/>
          <w:sz w:val="20"/>
          <w:szCs w:val="20"/>
        </w:rPr>
        <w:t>Emphasis of matters</w:t>
      </w:r>
    </w:p>
    <w:p w:rsidR="00C92260" w:rsidRPr="00C92260" w:rsidRDefault="00C92260" w:rsidP="00C92260">
      <w:pPr>
        <w:tabs>
          <w:tab w:val="left" w:pos="6570"/>
        </w:tabs>
        <w:rPr>
          <w:rFonts w:ascii="Arial" w:hAnsi="Arial" w:cs="Arial"/>
          <w:sz w:val="20"/>
          <w:szCs w:val="20"/>
        </w:rPr>
      </w:pPr>
    </w:p>
    <w:p w:rsidR="00C92260" w:rsidRPr="00C92260" w:rsidRDefault="00C92260" w:rsidP="00C92260">
      <w:pPr>
        <w:autoSpaceDE w:val="0"/>
        <w:autoSpaceDN w:val="0"/>
        <w:adjustRightInd w:val="0"/>
        <w:rPr>
          <w:rFonts w:ascii="Arial" w:hAnsi="Arial" w:cs="Arial"/>
          <w:sz w:val="20"/>
          <w:szCs w:val="20"/>
        </w:rPr>
      </w:pPr>
      <w:r w:rsidRPr="00C92260">
        <w:rPr>
          <w:rFonts w:ascii="Arial" w:hAnsi="Arial" w:cs="Arial"/>
          <w:sz w:val="20"/>
          <w:szCs w:val="20"/>
        </w:rPr>
        <w:t xml:space="preserve">Without further modifying our opinion, we draw attention to note 3.1 to the financial statements which discloses the premise upon which the Group and the Company have prepared its financial statements by applying the going concern assumption, notwithstanding that the Company’s incurred a net loss of RM582,258 and the Group’s net profit RM228,844 during the year  ended 31 December 2010, and as of that date, the Group’s and the Company’s current liabilities exceeded its current assets by RM109,414,877 and RM90,966,311 respectively, the Group’s and the Company’s deficit in shareholders’ funds amounted to RM109,210,038 and RM90,853,482 respectively, thereby indicating the existence of a material uncertainty which may cast significant doubt about the Company’s ability to continue as going concern. </w:t>
      </w:r>
    </w:p>
    <w:p w:rsidR="00C92260" w:rsidRPr="00C92260" w:rsidRDefault="00C92260" w:rsidP="00C92260">
      <w:pPr>
        <w:autoSpaceDE w:val="0"/>
        <w:autoSpaceDN w:val="0"/>
        <w:adjustRightInd w:val="0"/>
        <w:ind w:firstLine="720"/>
        <w:rPr>
          <w:rFonts w:ascii="Arial" w:hAnsi="Arial" w:cs="Arial"/>
          <w:sz w:val="20"/>
          <w:szCs w:val="20"/>
        </w:rPr>
      </w:pPr>
    </w:p>
    <w:p w:rsidR="00C92260" w:rsidRDefault="00C92260" w:rsidP="00C92260">
      <w:pPr>
        <w:autoSpaceDE w:val="0"/>
        <w:autoSpaceDN w:val="0"/>
        <w:adjustRightInd w:val="0"/>
        <w:rPr>
          <w:rFonts w:ascii="Arial" w:hAnsi="Arial" w:cs="Arial"/>
          <w:sz w:val="20"/>
          <w:szCs w:val="20"/>
        </w:rPr>
      </w:pPr>
      <w:r w:rsidRPr="00C92260">
        <w:rPr>
          <w:rFonts w:ascii="Arial" w:hAnsi="Arial" w:cs="Arial"/>
          <w:sz w:val="20"/>
          <w:szCs w:val="20"/>
        </w:rPr>
        <w:t>The appropriateness of preparing the financial statements of the Company to continue as a going concern is dependent upon the successful implementation of the Proposed Corporate Restructuring Exercise (“PCRE”) as well as the ability of the Group and the Company to be successful in their future operation and profitability. Accordingly the financial statements of the Group and of the Company do not include any adjustments relating to the amounts and classifications of assets and liabilities that might necessary should the Company unable to continue as a going concern.</w:t>
      </w:r>
    </w:p>
    <w:p w:rsidR="0098509D" w:rsidRPr="00C92260" w:rsidRDefault="0098509D" w:rsidP="00C92260">
      <w:pPr>
        <w:autoSpaceDE w:val="0"/>
        <w:autoSpaceDN w:val="0"/>
        <w:adjustRightInd w:val="0"/>
        <w:rPr>
          <w:rFonts w:ascii="Arial" w:hAnsi="Arial" w:cs="Arial"/>
          <w:b/>
          <w:bCs/>
          <w:i/>
          <w:sz w:val="20"/>
          <w:szCs w:val="20"/>
        </w:rPr>
      </w:pP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304520" w:rsidRPr="00AA2D7D">
        <w:rPr>
          <w:rFonts w:ascii="Arial" w:eastAsia="Arial Unicode MS" w:hAnsi="Arial" w:cs="Arial"/>
          <w:sz w:val="20"/>
          <w:szCs w:val="20"/>
        </w:rPr>
        <w:t>4.</w:t>
      </w:r>
      <w:r w:rsidR="00010436">
        <w:rPr>
          <w:rFonts w:ascii="Arial" w:eastAsia="Arial Unicode MS" w:hAnsi="Arial" w:cs="Arial"/>
          <w:sz w:val="20"/>
          <w:szCs w:val="20"/>
        </w:rPr>
        <w:t xml:space="preserve"> </w:t>
      </w:r>
      <w:r w:rsidR="00D66043">
        <w:rPr>
          <w:rFonts w:ascii="Arial" w:eastAsia="Arial Unicode MS" w:hAnsi="Arial" w:cs="Arial"/>
          <w:sz w:val="20"/>
          <w:szCs w:val="20"/>
        </w:rPr>
        <w:t xml:space="preserve"> </w:t>
      </w:r>
      <w:r w:rsidR="00304520" w:rsidRPr="00AA2D7D">
        <w:rPr>
          <w:rFonts w:ascii="Arial" w:eastAsia="Arial Unicode MS" w:hAnsi="Arial" w:cs="Arial"/>
          <w:sz w:val="20"/>
          <w:szCs w:val="20"/>
        </w:rPr>
        <w:t>ITEMS OF UNUSUAL NATURE AND AMOUNT</w:t>
      </w:r>
    </w:p>
    <w:p w:rsidR="00304520" w:rsidRPr="00AA2D7D" w:rsidRDefault="00304520" w:rsidP="00304520">
      <w:pPr>
        <w:pStyle w:val="Text"/>
        <w:rPr>
          <w:rFonts w:ascii="Arial" w:eastAsia="Arial Unicode MS" w:hAnsi="Arial" w:cs="Arial"/>
          <w:sz w:val="20"/>
          <w:szCs w:val="20"/>
        </w:rPr>
      </w:pPr>
      <w:r>
        <w:rPr>
          <w:rFonts w:ascii="Arial" w:eastAsia="Arial Unicode MS" w:hAnsi="Arial" w:cs="Arial"/>
          <w:sz w:val="20"/>
          <w:szCs w:val="20"/>
        </w:rPr>
        <w:t xml:space="preserve">There were no unusual </w:t>
      </w:r>
      <w:r w:rsidRPr="00AA2D7D">
        <w:rPr>
          <w:rFonts w:ascii="Arial" w:eastAsia="Arial Unicode MS" w:hAnsi="Arial" w:cs="Arial"/>
          <w:sz w:val="20"/>
          <w:szCs w:val="20"/>
        </w:rPr>
        <w:t xml:space="preserve">items affecting assets, liabilities, equity, net income or </w:t>
      </w:r>
      <w:proofErr w:type="spellStart"/>
      <w:r w:rsidRPr="00AA2D7D">
        <w:rPr>
          <w:rFonts w:ascii="Arial" w:eastAsia="Arial Unicode MS" w:hAnsi="Arial" w:cs="Arial"/>
          <w:sz w:val="20"/>
          <w:szCs w:val="20"/>
        </w:rPr>
        <w:t>cashflows</w:t>
      </w:r>
      <w:proofErr w:type="spellEnd"/>
      <w:r w:rsidRPr="00AA2D7D">
        <w:rPr>
          <w:rFonts w:ascii="Arial" w:eastAsia="Arial Unicode MS" w:hAnsi="Arial" w:cs="Arial"/>
          <w:sz w:val="20"/>
          <w:szCs w:val="20"/>
        </w:rPr>
        <w:t xml:space="preserve"> </w:t>
      </w:r>
      <w:r>
        <w:rPr>
          <w:rFonts w:ascii="Arial" w:eastAsia="Arial Unicode MS" w:hAnsi="Arial" w:cs="Arial"/>
          <w:sz w:val="20"/>
          <w:szCs w:val="20"/>
        </w:rPr>
        <w:t>during the current quarter under review.</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304520" w:rsidRPr="00AA2D7D">
        <w:rPr>
          <w:rFonts w:ascii="Arial" w:eastAsia="Arial Unicode MS" w:hAnsi="Arial" w:cs="Arial"/>
          <w:sz w:val="20"/>
          <w:szCs w:val="20"/>
        </w:rPr>
        <w:t>5.</w:t>
      </w:r>
      <w:r w:rsidR="00010436">
        <w:rPr>
          <w:rFonts w:ascii="Arial" w:eastAsia="Arial Unicode MS" w:hAnsi="Arial" w:cs="Arial"/>
          <w:sz w:val="20"/>
          <w:szCs w:val="20"/>
        </w:rPr>
        <w:t xml:space="preserve"> </w:t>
      </w:r>
      <w:r w:rsidR="00D66043">
        <w:rPr>
          <w:rFonts w:ascii="Arial" w:eastAsia="Arial Unicode MS" w:hAnsi="Arial" w:cs="Arial"/>
          <w:sz w:val="20"/>
          <w:szCs w:val="20"/>
        </w:rPr>
        <w:t xml:space="preserve"> </w:t>
      </w:r>
      <w:r w:rsidR="00304520" w:rsidRPr="00AA2D7D">
        <w:rPr>
          <w:rFonts w:ascii="Arial" w:eastAsia="Arial Unicode MS" w:hAnsi="Arial" w:cs="Arial"/>
          <w:sz w:val="20"/>
          <w:szCs w:val="20"/>
        </w:rPr>
        <w:t>SEASONAL OR CYCLICAL FACTORS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are no significant variations to the level of profit due to seasonal or cyclical effects of operations.</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t>A</w:t>
      </w:r>
      <w:r w:rsidR="00304520" w:rsidRPr="00AA2D7D">
        <w:rPr>
          <w:rFonts w:ascii="Arial" w:eastAsia="Arial Unicode MS" w:hAnsi="Arial" w:cs="Arial"/>
          <w:sz w:val="20"/>
          <w:szCs w:val="20"/>
        </w:rPr>
        <w:t>6.</w:t>
      </w:r>
      <w:r w:rsidR="00D66043">
        <w:rPr>
          <w:rFonts w:ascii="Arial" w:eastAsia="Arial Unicode MS" w:hAnsi="Arial" w:cs="Arial"/>
          <w:sz w:val="20"/>
          <w:szCs w:val="20"/>
        </w:rPr>
        <w:t xml:space="preserve">  </w:t>
      </w:r>
      <w:r w:rsidR="00304520" w:rsidRPr="00AA2D7D">
        <w:rPr>
          <w:rFonts w:ascii="Arial" w:eastAsia="Arial Unicode MS" w:hAnsi="Arial" w:cs="Arial"/>
          <w:sz w:val="20"/>
          <w:szCs w:val="20"/>
        </w:rPr>
        <w:t>CHANGES IN ESTIMATES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were no changes in estimates of amounts that give a material effect for the current quarter.</w:t>
      </w:r>
    </w:p>
    <w:p w:rsidR="00304520" w:rsidRPr="00AA2D7D" w:rsidRDefault="005913D8" w:rsidP="00304520">
      <w:pPr>
        <w:pStyle w:val="Heading"/>
        <w:rPr>
          <w:rFonts w:ascii="Arial" w:eastAsia="Arial Unicode MS" w:hAnsi="Arial" w:cs="Arial"/>
          <w:sz w:val="20"/>
          <w:szCs w:val="20"/>
        </w:rPr>
      </w:pPr>
      <w:r>
        <w:rPr>
          <w:rFonts w:ascii="Arial" w:eastAsia="Arial Unicode MS" w:hAnsi="Arial" w:cs="Arial"/>
          <w:sz w:val="20"/>
          <w:szCs w:val="20"/>
        </w:rPr>
        <w:lastRenderedPageBreak/>
        <w:t>A</w:t>
      </w:r>
      <w:r w:rsidR="00304520" w:rsidRPr="00AA2D7D">
        <w:rPr>
          <w:rFonts w:ascii="Arial" w:eastAsia="Arial Unicode MS" w:hAnsi="Arial" w:cs="Arial"/>
          <w:sz w:val="20"/>
          <w:szCs w:val="20"/>
        </w:rPr>
        <w:t>7.</w:t>
      </w:r>
      <w:r w:rsidR="00BD1D1F">
        <w:rPr>
          <w:rFonts w:ascii="Arial" w:eastAsia="Arial Unicode MS" w:hAnsi="Arial" w:cs="Arial"/>
          <w:sz w:val="20"/>
          <w:szCs w:val="20"/>
        </w:rPr>
        <w:t xml:space="preserve">  </w:t>
      </w:r>
      <w:r w:rsidR="00304520" w:rsidRPr="00AA2D7D">
        <w:rPr>
          <w:rFonts w:ascii="Arial" w:eastAsia="Arial Unicode MS" w:hAnsi="Arial" w:cs="Arial"/>
          <w:sz w:val="20"/>
          <w:szCs w:val="20"/>
        </w:rPr>
        <w:t>DEBT AND EQUITY SECURITIES</w:t>
      </w:r>
    </w:p>
    <w:p w:rsidR="00304520"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were no issues of equity securities and repayment of debt securities, share buy-backs, share cancellations, shares held as treasury shares and resale of treasury shares during the current quarter.</w:t>
      </w:r>
    </w:p>
    <w:p w:rsidR="00D66043" w:rsidRDefault="00D66043" w:rsidP="00D66043">
      <w:pPr>
        <w:pStyle w:val="Heading"/>
        <w:rPr>
          <w:rFonts w:ascii="Arial" w:eastAsia="Arial Unicode MS" w:hAnsi="Arial" w:cs="Arial"/>
          <w:sz w:val="20"/>
          <w:szCs w:val="20"/>
        </w:rPr>
      </w:pPr>
      <w:r>
        <w:rPr>
          <w:rFonts w:ascii="Arial" w:eastAsia="Arial Unicode MS" w:hAnsi="Arial" w:cs="Arial"/>
          <w:sz w:val="20"/>
          <w:szCs w:val="20"/>
        </w:rPr>
        <w:t>A</w:t>
      </w:r>
      <w:r w:rsidR="00BA32E0">
        <w:rPr>
          <w:rFonts w:ascii="Arial" w:eastAsia="Arial Unicode MS" w:hAnsi="Arial" w:cs="Arial"/>
          <w:sz w:val="20"/>
          <w:szCs w:val="20"/>
        </w:rPr>
        <w:t>8</w:t>
      </w:r>
      <w:r>
        <w:rPr>
          <w:rFonts w:ascii="Arial" w:eastAsia="Arial Unicode MS" w:hAnsi="Arial" w:cs="Arial"/>
          <w:sz w:val="20"/>
          <w:szCs w:val="20"/>
        </w:rPr>
        <w:t>.</w:t>
      </w:r>
      <w:r w:rsidR="00BD1D1F">
        <w:rPr>
          <w:rFonts w:ascii="Arial" w:eastAsia="Arial Unicode MS" w:hAnsi="Arial" w:cs="Arial"/>
          <w:sz w:val="20"/>
          <w:szCs w:val="20"/>
        </w:rPr>
        <w:t xml:space="preserve">  DIVIDEND PAID </w:t>
      </w:r>
    </w:p>
    <w:p w:rsidR="00BD1D1F" w:rsidRDefault="00BD1D1F" w:rsidP="00BD1D1F">
      <w:pPr>
        <w:pStyle w:val="Text"/>
        <w:rPr>
          <w:rFonts w:ascii="Arial" w:eastAsia="Arial Unicode MS" w:hAnsi="Arial" w:cs="Arial"/>
          <w:sz w:val="20"/>
          <w:szCs w:val="20"/>
        </w:rPr>
      </w:pPr>
      <w:r>
        <w:rPr>
          <w:rFonts w:ascii="Arial" w:eastAsia="Arial Unicode MS" w:hAnsi="Arial" w:cs="Arial"/>
          <w:sz w:val="20"/>
          <w:szCs w:val="20"/>
        </w:rPr>
        <w:t>There was</w:t>
      </w:r>
      <w:r w:rsidRPr="00AA2D7D">
        <w:rPr>
          <w:rFonts w:ascii="Arial" w:eastAsia="Arial Unicode MS" w:hAnsi="Arial" w:cs="Arial"/>
          <w:sz w:val="20"/>
          <w:szCs w:val="20"/>
        </w:rPr>
        <w:t xml:space="preserve"> no </w:t>
      </w:r>
      <w:r>
        <w:rPr>
          <w:rFonts w:ascii="Arial" w:eastAsia="Arial Unicode MS" w:hAnsi="Arial" w:cs="Arial"/>
          <w:sz w:val="20"/>
          <w:szCs w:val="20"/>
        </w:rPr>
        <w:t xml:space="preserve">dividend paid </w:t>
      </w:r>
      <w:r w:rsidRPr="00AA2D7D">
        <w:rPr>
          <w:rFonts w:ascii="Arial" w:eastAsia="Arial Unicode MS" w:hAnsi="Arial" w:cs="Arial"/>
          <w:sz w:val="20"/>
          <w:szCs w:val="20"/>
        </w:rPr>
        <w:t>during th</w:t>
      </w:r>
      <w:r>
        <w:rPr>
          <w:rFonts w:ascii="Arial" w:eastAsia="Arial Unicode MS" w:hAnsi="Arial" w:cs="Arial"/>
          <w:sz w:val="20"/>
          <w:szCs w:val="20"/>
        </w:rPr>
        <w:t>is</w:t>
      </w:r>
      <w:r w:rsidRPr="00AA2D7D">
        <w:rPr>
          <w:rFonts w:ascii="Arial" w:eastAsia="Arial Unicode MS" w:hAnsi="Arial" w:cs="Arial"/>
          <w:sz w:val="20"/>
          <w:szCs w:val="20"/>
        </w:rPr>
        <w:t xml:space="preserve"> current quarter.</w:t>
      </w:r>
    </w:p>
    <w:p w:rsidR="00304520" w:rsidRPr="00AA2D7D" w:rsidRDefault="00BA32E0" w:rsidP="00BD1D1F">
      <w:pPr>
        <w:pStyle w:val="Heading"/>
        <w:rPr>
          <w:rFonts w:ascii="Arial" w:eastAsia="Arial Unicode MS" w:hAnsi="Arial" w:cs="Arial"/>
          <w:sz w:val="20"/>
          <w:szCs w:val="20"/>
        </w:rPr>
      </w:pPr>
      <w:r>
        <w:rPr>
          <w:rFonts w:ascii="Arial" w:eastAsia="Arial Unicode MS" w:hAnsi="Arial" w:cs="Arial"/>
          <w:sz w:val="20"/>
          <w:szCs w:val="20"/>
        </w:rPr>
        <w:t>A9</w:t>
      </w:r>
      <w:r w:rsidR="00BD1D1F">
        <w:rPr>
          <w:rFonts w:ascii="Arial" w:eastAsia="Arial Unicode MS" w:hAnsi="Arial" w:cs="Arial"/>
          <w:sz w:val="20"/>
          <w:szCs w:val="20"/>
        </w:rPr>
        <w:t xml:space="preserve">.  </w:t>
      </w:r>
      <w:r w:rsidR="00304520" w:rsidRPr="00AA2D7D">
        <w:rPr>
          <w:rFonts w:ascii="Arial" w:eastAsia="Arial Unicode MS" w:hAnsi="Arial" w:cs="Arial"/>
          <w:sz w:val="20"/>
          <w:szCs w:val="20"/>
        </w:rPr>
        <w:t>SEGMENTAL INFORMATION</w:t>
      </w:r>
      <w:r w:rsidR="00304520" w:rsidRPr="00AA2D7D">
        <w:rPr>
          <w:rFonts w:ascii="Arial" w:eastAsia="Arial Unicode MS" w:hAnsi="Arial" w:cs="Arial"/>
          <w:sz w:val="20"/>
          <w:szCs w:val="20"/>
        </w:rPr>
        <w:tab/>
      </w:r>
    </w:p>
    <w:p w:rsidR="00304520" w:rsidRPr="00AA2D7D" w:rsidRDefault="00304520" w:rsidP="00304520">
      <w:pPr>
        <w:pStyle w:val="Heading"/>
        <w:rPr>
          <w:rFonts w:ascii="Arial" w:eastAsia="Arial Unicode MS" w:hAnsi="Arial" w:cs="Arial"/>
          <w:sz w:val="20"/>
          <w:szCs w:val="20"/>
        </w:rPr>
      </w:pPr>
      <w:r w:rsidRPr="00AA2D7D">
        <w:rPr>
          <w:rFonts w:ascii="Arial" w:eastAsia="Arial Unicode MS" w:hAnsi="Arial" w:cs="Arial"/>
          <w:sz w:val="20"/>
          <w:szCs w:val="20"/>
        </w:rPr>
        <w:t xml:space="preserve">                   </w:t>
      </w:r>
      <w:r w:rsidR="005055D0" w:rsidRPr="00AA2D7D">
        <w:rPr>
          <w:rFonts w:ascii="Arial" w:eastAsia="Arial Unicode MS" w:hAnsi="Arial" w:cs="Arial"/>
          <w:sz w:val="20"/>
          <w:szCs w:val="20"/>
        </w:rPr>
        <w:object w:dxaOrig="7497" w:dyaOrig="3564">
          <v:shape id="_x0000_i1030" type="#_x0000_t75" style="width:375pt;height:186pt" o:ole="">
            <v:imagedata r:id="rId17" o:title=""/>
          </v:shape>
          <o:OLEObject Type="Embed" ProgID="Excel.Sheet.8" ShapeID="_x0000_i1030" DrawAspect="Content" ObjectID="_1391958086" r:id="rId18"/>
        </w:objec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t>A1</w:t>
      </w:r>
      <w:r w:rsidR="00BA32E0">
        <w:rPr>
          <w:rFonts w:ascii="Arial" w:eastAsia="Arial Unicode MS" w:hAnsi="Arial" w:cs="Arial"/>
          <w:sz w:val="20"/>
          <w:szCs w:val="20"/>
        </w:rPr>
        <w:t>0</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REVALUATION OF PROPERTY AND EQUIPMENT</w:t>
      </w:r>
    </w:p>
    <w:p w:rsidR="00BE3464"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 valuations of property and equipment have been brought forward without amendment from the finan</w:t>
      </w:r>
      <w:r w:rsidR="00BE3464">
        <w:rPr>
          <w:rFonts w:ascii="Arial" w:eastAsia="Arial Unicode MS" w:hAnsi="Arial" w:cs="Arial"/>
          <w:sz w:val="20"/>
          <w:szCs w:val="20"/>
        </w:rPr>
        <w:t>cial year ended 31 December 2010</w: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t>A</w:t>
      </w:r>
      <w:r w:rsidR="003D1B84">
        <w:rPr>
          <w:rFonts w:ascii="Arial" w:eastAsia="Arial Unicode MS" w:hAnsi="Arial" w:cs="Arial"/>
          <w:sz w:val="20"/>
          <w:szCs w:val="20"/>
        </w:rPr>
        <w:t>1</w:t>
      </w:r>
      <w:r w:rsidR="00BA32E0">
        <w:rPr>
          <w:rFonts w:ascii="Arial" w:eastAsia="Arial Unicode MS" w:hAnsi="Arial" w:cs="Arial"/>
          <w:sz w:val="20"/>
          <w:szCs w:val="20"/>
        </w:rPr>
        <w:t>1</w:t>
      </w:r>
      <w:r w:rsidR="00304520" w:rsidRPr="00AA2D7D">
        <w:rPr>
          <w:rFonts w:ascii="Arial" w:eastAsia="Arial Unicode MS" w:hAnsi="Arial" w:cs="Arial"/>
          <w:sz w:val="20"/>
          <w:szCs w:val="20"/>
        </w:rPr>
        <w:t xml:space="preserve">. </w:t>
      </w:r>
      <w:r>
        <w:rPr>
          <w:rFonts w:ascii="Arial" w:eastAsia="Arial Unicode MS" w:hAnsi="Arial" w:cs="Arial"/>
          <w:sz w:val="20"/>
          <w:szCs w:val="20"/>
        </w:rPr>
        <w:t xml:space="preserve"> </w:t>
      </w:r>
      <w:r w:rsidR="00304520" w:rsidRPr="00AA2D7D">
        <w:rPr>
          <w:rFonts w:ascii="Arial" w:eastAsia="Arial Unicode MS" w:hAnsi="Arial" w:cs="Arial"/>
          <w:sz w:val="20"/>
          <w:szCs w:val="20"/>
        </w:rPr>
        <w:t>CONTI</w:t>
      </w:r>
      <w:r w:rsidR="0086091E">
        <w:rPr>
          <w:rFonts w:ascii="Arial" w:eastAsia="Arial Unicode MS" w:hAnsi="Arial" w:cs="Arial"/>
          <w:sz w:val="20"/>
          <w:szCs w:val="20"/>
        </w:rPr>
        <w:t>N</w:t>
      </w:r>
      <w:r w:rsidR="00304520" w:rsidRPr="00AA2D7D">
        <w:rPr>
          <w:rFonts w:ascii="Arial" w:eastAsia="Arial Unicode MS" w:hAnsi="Arial" w:cs="Arial"/>
          <w:sz w:val="20"/>
          <w:szCs w:val="20"/>
        </w:rPr>
        <w:t>GENT LIABILITIES AND CONTI</w:t>
      </w:r>
      <w:r w:rsidR="0086091E">
        <w:rPr>
          <w:rFonts w:ascii="Arial" w:eastAsia="Arial Unicode MS" w:hAnsi="Arial" w:cs="Arial"/>
          <w:sz w:val="20"/>
          <w:szCs w:val="20"/>
        </w:rPr>
        <w:t>N</w:t>
      </w:r>
      <w:r w:rsidR="00304520" w:rsidRPr="00AA2D7D">
        <w:rPr>
          <w:rFonts w:ascii="Arial" w:eastAsia="Arial Unicode MS" w:hAnsi="Arial" w:cs="Arial"/>
          <w:sz w:val="20"/>
          <w:szCs w:val="20"/>
        </w:rPr>
        <w:t>GENT ASSETS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 xml:space="preserve">All Corporate Guarantees given by the Company in respect of credit facilities and certain creditors of </w:t>
      </w:r>
      <w:proofErr w:type="spellStart"/>
      <w:r w:rsidRPr="00AA2D7D">
        <w:rPr>
          <w:rFonts w:ascii="Arial" w:eastAsia="Arial Unicode MS" w:hAnsi="Arial" w:cs="Arial"/>
          <w:sz w:val="20"/>
          <w:szCs w:val="20"/>
        </w:rPr>
        <w:t>Lankhorst</w:t>
      </w:r>
      <w:proofErr w:type="spellEnd"/>
      <w:r w:rsidRPr="00AA2D7D">
        <w:rPr>
          <w:rFonts w:ascii="Arial" w:eastAsia="Arial Unicode MS" w:hAnsi="Arial" w:cs="Arial"/>
          <w:sz w:val="20"/>
          <w:szCs w:val="20"/>
        </w:rPr>
        <w:t xml:space="preserve"> </w:t>
      </w:r>
      <w:proofErr w:type="spellStart"/>
      <w:r w:rsidRPr="00AA2D7D">
        <w:rPr>
          <w:rFonts w:ascii="Arial" w:eastAsia="Arial Unicode MS" w:hAnsi="Arial" w:cs="Arial"/>
          <w:sz w:val="20"/>
          <w:szCs w:val="20"/>
        </w:rPr>
        <w:t>Pancabumi</w:t>
      </w:r>
      <w:proofErr w:type="spellEnd"/>
      <w:r w:rsidRPr="00AA2D7D">
        <w:rPr>
          <w:rFonts w:ascii="Arial" w:eastAsia="Arial Unicode MS" w:hAnsi="Arial" w:cs="Arial"/>
          <w:sz w:val="20"/>
          <w:szCs w:val="20"/>
        </w:rPr>
        <w:t xml:space="preserve"> Contractors </w:t>
      </w:r>
      <w:proofErr w:type="spellStart"/>
      <w:r w:rsidRPr="00AA2D7D">
        <w:rPr>
          <w:rFonts w:ascii="Arial" w:eastAsia="Arial Unicode MS" w:hAnsi="Arial" w:cs="Arial"/>
          <w:sz w:val="20"/>
          <w:szCs w:val="20"/>
        </w:rPr>
        <w:t>Sdn</w:t>
      </w:r>
      <w:proofErr w:type="spellEnd"/>
      <w:r w:rsidRPr="00AA2D7D">
        <w:rPr>
          <w:rFonts w:ascii="Arial" w:eastAsia="Arial Unicode MS" w:hAnsi="Arial" w:cs="Arial"/>
          <w:sz w:val="20"/>
          <w:szCs w:val="20"/>
        </w:rPr>
        <w:t xml:space="preserve"> </w:t>
      </w:r>
      <w:proofErr w:type="spellStart"/>
      <w:r w:rsidRPr="00AA2D7D">
        <w:rPr>
          <w:rFonts w:ascii="Arial" w:eastAsia="Arial Unicode MS" w:hAnsi="Arial" w:cs="Arial"/>
          <w:sz w:val="20"/>
          <w:szCs w:val="20"/>
        </w:rPr>
        <w:t>Bhd</w:t>
      </w:r>
      <w:proofErr w:type="spellEnd"/>
      <w:r w:rsidRPr="00AA2D7D">
        <w:rPr>
          <w:rFonts w:ascii="Arial" w:eastAsia="Arial Unicode MS" w:hAnsi="Arial" w:cs="Arial"/>
          <w:sz w:val="20"/>
          <w:szCs w:val="20"/>
        </w:rPr>
        <w:t xml:space="preserve"> (in liquidation) has been included in the accounts and </w:t>
      </w:r>
      <w:r w:rsidR="006E3704">
        <w:rPr>
          <w:rFonts w:ascii="Arial" w:eastAsia="Arial Unicode MS" w:hAnsi="Arial" w:cs="Arial"/>
          <w:sz w:val="20"/>
          <w:szCs w:val="20"/>
        </w:rPr>
        <w:t>is</w:t>
      </w:r>
      <w:r w:rsidRPr="00AA2D7D">
        <w:rPr>
          <w:rFonts w:ascii="Arial" w:eastAsia="Arial Unicode MS" w:hAnsi="Arial" w:cs="Arial"/>
          <w:sz w:val="20"/>
          <w:szCs w:val="20"/>
        </w:rPr>
        <w:t xml:space="preserve"> be</w:t>
      </w:r>
      <w:r w:rsidR="006E3704">
        <w:rPr>
          <w:rFonts w:ascii="Arial" w:eastAsia="Arial Unicode MS" w:hAnsi="Arial" w:cs="Arial"/>
          <w:sz w:val="20"/>
          <w:szCs w:val="20"/>
        </w:rPr>
        <w:t>ing</w:t>
      </w:r>
      <w:r w:rsidRPr="00AA2D7D">
        <w:rPr>
          <w:rFonts w:ascii="Arial" w:eastAsia="Arial Unicode MS" w:hAnsi="Arial" w:cs="Arial"/>
          <w:sz w:val="20"/>
          <w:szCs w:val="20"/>
        </w:rPr>
        <w:t xml:space="preserve"> addressed by the Company pursuant to the PCRE.</w: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t>A</w:t>
      </w:r>
      <w:r w:rsidR="003D1B84">
        <w:rPr>
          <w:rFonts w:ascii="Arial" w:eastAsia="Arial Unicode MS" w:hAnsi="Arial" w:cs="Arial"/>
          <w:sz w:val="20"/>
          <w:szCs w:val="20"/>
        </w:rPr>
        <w:t>1</w:t>
      </w:r>
      <w:r w:rsidR="00BA32E0">
        <w:rPr>
          <w:rFonts w:ascii="Arial" w:eastAsia="Arial Unicode MS" w:hAnsi="Arial" w:cs="Arial"/>
          <w:sz w:val="20"/>
          <w:szCs w:val="20"/>
        </w:rPr>
        <w:t>2</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CHANGES IN GROUP COMPOSITION</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were no changes to the Group</w:t>
      </w:r>
      <w:r>
        <w:rPr>
          <w:rFonts w:ascii="Arial" w:eastAsia="Arial Unicode MS" w:hAnsi="Arial" w:cs="Arial"/>
          <w:sz w:val="20"/>
          <w:szCs w:val="20"/>
        </w:rPr>
        <w:t>’s</w:t>
      </w:r>
      <w:r w:rsidRPr="00AA2D7D">
        <w:rPr>
          <w:rFonts w:ascii="Arial" w:eastAsia="Arial Unicode MS" w:hAnsi="Arial" w:cs="Arial"/>
          <w:sz w:val="20"/>
          <w:szCs w:val="20"/>
        </w:rPr>
        <w:t xml:space="preserve"> composition during the quarter under review.</w: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lastRenderedPageBreak/>
        <w:t>A</w:t>
      </w:r>
      <w:r w:rsidR="003D1B84">
        <w:rPr>
          <w:rFonts w:ascii="Arial" w:eastAsia="Arial Unicode MS" w:hAnsi="Arial" w:cs="Arial"/>
          <w:sz w:val="20"/>
          <w:szCs w:val="20"/>
        </w:rPr>
        <w:t>1</w:t>
      </w:r>
      <w:r w:rsidR="00BA32E0">
        <w:rPr>
          <w:rFonts w:ascii="Arial" w:eastAsia="Arial Unicode MS" w:hAnsi="Arial" w:cs="Arial"/>
          <w:sz w:val="20"/>
          <w:szCs w:val="20"/>
        </w:rPr>
        <w:t>3</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SIGNIFICANT SUBSEQUENT EVENTS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were no significant events subsequent to the end of the current quarter up to the date of this report that have not been reflected in the financial statements for the current quarter under review.</w: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t>A</w:t>
      </w:r>
      <w:r w:rsidR="003D1B84">
        <w:rPr>
          <w:rFonts w:ascii="Arial" w:eastAsia="Arial Unicode MS" w:hAnsi="Arial" w:cs="Arial"/>
          <w:sz w:val="20"/>
          <w:szCs w:val="20"/>
        </w:rPr>
        <w:t>1</w:t>
      </w:r>
      <w:r w:rsidR="00BA32E0">
        <w:rPr>
          <w:rFonts w:ascii="Arial" w:eastAsia="Arial Unicode MS" w:hAnsi="Arial" w:cs="Arial"/>
          <w:sz w:val="20"/>
          <w:szCs w:val="20"/>
        </w:rPr>
        <w:t>4</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CAPITAL COMMITMENT</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 xml:space="preserve">The Group has no </w:t>
      </w:r>
      <w:r w:rsidR="00426C3F">
        <w:rPr>
          <w:rFonts w:ascii="Arial" w:eastAsia="Arial Unicode MS" w:hAnsi="Arial" w:cs="Arial"/>
          <w:sz w:val="20"/>
          <w:szCs w:val="20"/>
        </w:rPr>
        <w:t>capital commitment as of 3</w:t>
      </w:r>
      <w:r w:rsidR="00B04E95">
        <w:rPr>
          <w:rFonts w:ascii="Arial" w:eastAsia="Arial Unicode MS" w:hAnsi="Arial" w:cs="Arial"/>
          <w:sz w:val="20"/>
          <w:szCs w:val="20"/>
        </w:rPr>
        <w:t>1 Dec</w:t>
      </w:r>
      <w:r w:rsidR="00426C3F">
        <w:rPr>
          <w:rFonts w:ascii="Arial" w:eastAsia="Arial Unicode MS" w:hAnsi="Arial" w:cs="Arial"/>
          <w:sz w:val="20"/>
          <w:szCs w:val="20"/>
        </w:rPr>
        <w:t>ember</w:t>
      </w:r>
      <w:r w:rsidR="00DF036B">
        <w:rPr>
          <w:rFonts w:ascii="Arial" w:eastAsia="Arial Unicode MS" w:hAnsi="Arial" w:cs="Arial"/>
          <w:sz w:val="20"/>
          <w:szCs w:val="20"/>
        </w:rPr>
        <w:t xml:space="preserve"> 2011</w:t>
      </w:r>
      <w:r w:rsidRPr="00AA2D7D">
        <w:rPr>
          <w:rFonts w:ascii="Arial" w:eastAsia="Arial Unicode MS" w:hAnsi="Arial" w:cs="Arial"/>
          <w:sz w:val="20"/>
          <w:szCs w:val="20"/>
        </w:rPr>
        <w:t>.</w:t>
      </w:r>
    </w:p>
    <w:p w:rsidR="00304520" w:rsidRPr="00AA2D7D" w:rsidRDefault="00304520" w:rsidP="00304520">
      <w:pPr>
        <w:pStyle w:val="Heading3"/>
        <w:rPr>
          <w:rFonts w:ascii="Arial" w:eastAsia="Arial Unicode MS" w:hAnsi="Arial" w:cs="Arial"/>
          <w:sz w:val="20"/>
          <w:szCs w:val="20"/>
        </w:rPr>
      </w:pPr>
    </w:p>
    <w:p w:rsidR="00BA32E0" w:rsidRDefault="00BA32E0" w:rsidP="00BA32E0">
      <w:pPr>
        <w:rPr>
          <w:rFonts w:eastAsia="Arial Unicode MS"/>
        </w:rPr>
      </w:pPr>
    </w:p>
    <w:p w:rsidR="00A531B5" w:rsidRDefault="00A531B5"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Default="00BA32E0" w:rsidP="00BA32E0">
      <w:pPr>
        <w:rPr>
          <w:rFonts w:eastAsia="Arial Unicode MS"/>
        </w:rPr>
      </w:pPr>
    </w:p>
    <w:p w:rsidR="00BA32E0" w:rsidRPr="00BA32E0" w:rsidRDefault="00BA32E0" w:rsidP="00BA32E0">
      <w:pPr>
        <w:rPr>
          <w:rFonts w:eastAsia="Arial Unicode MS"/>
        </w:rPr>
      </w:pPr>
    </w:p>
    <w:p w:rsidR="00304520" w:rsidRPr="00AA2D7D" w:rsidRDefault="00304520" w:rsidP="00304520">
      <w:pPr>
        <w:rPr>
          <w:rFonts w:ascii="Arial" w:eastAsia="Arial Unicode MS" w:hAnsi="Arial" w:cs="Arial"/>
          <w:sz w:val="20"/>
          <w:szCs w:val="20"/>
        </w:rPr>
      </w:pPr>
    </w:p>
    <w:p w:rsidR="00304520" w:rsidRPr="00AA2D7D" w:rsidRDefault="00304520" w:rsidP="00304520">
      <w:pPr>
        <w:pStyle w:val="Heading3"/>
        <w:rPr>
          <w:rFonts w:ascii="Arial" w:eastAsia="Arial Unicode MS" w:hAnsi="Arial" w:cs="Arial"/>
          <w:sz w:val="20"/>
          <w:szCs w:val="20"/>
        </w:rPr>
      </w:pPr>
      <w:r w:rsidRPr="00AA2D7D">
        <w:rPr>
          <w:rFonts w:ascii="Arial" w:eastAsia="Arial Unicode MS" w:hAnsi="Arial" w:cs="Arial"/>
          <w:sz w:val="20"/>
          <w:szCs w:val="20"/>
        </w:rPr>
        <w:t>PART B</w:t>
      </w:r>
      <w:r>
        <w:rPr>
          <w:rFonts w:ascii="Arial" w:eastAsia="Arial Unicode MS" w:hAnsi="Arial" w:cs="Arial"/>
          <w:sz w:val="20"/>
          <w:szCs w:val="20"/>
        </w:rPr>
        <w:tab/>
      </w:r>
      <w:r w:rsidRPr="00AA2D7D">
        <w:rPr>
          <w:rFonts w:ascii="Arial" w:eastAsia="Arial Unicode MS" w:hAnsi="Arial" w:cs="Arial"/>
          <w:sz w:val="20"/>
          <w:szCs w:val="20"/>
        </w:rPr>
        <w:t xml:space="preserve">- EXPLANATORY NOTES PURSUANT TO APPENDIX 9B OF THE LISTING REQUIREMENTS OF </w:t>
      </w:r>
      <w:smartTag w:uri="urn:schemas-microsoft-com:office:smarttags" w:element="City">
        <w:r w:rsidRPr="00AA2D7D">
          <w:rPr>
            <w:rFonts w:ascii="Arial" w:eastAsia="Arial Unicode MS" w:hAnsi="Arial" w:cs="Arial"/>
            <w:sz w:val="20"/>
            <w:szCs w:val="20"/>
          </w:rPr>
          <w:t>BURSA</w:t>
        </w:r>
      </w:smartTag>
      <w:r w:rsidRPr="00AA2D7D">
        <w:rPr>
          <w:rFonts w:ascii="Arial" w:eastAsia="Arial Unicode MS" w:hAnsi="Arial" w:cs="Arial"/>
          <w:sz w:val="20"/>
          <w:szCs w:val="20"/>
        </w:rPr>
        <w:t xml:space="preserve"> </w:t>
      </w:r>
      <w:smartTag w:uri="urn:schemas-microsoft-com:office:smarttags" w:element="place">
        <w:smartTag w:uri="urn:schemas-microsoft-com:office:smarttags" w:element="country-region">
          <w:r w:rsidRPr="00AA2D7D">
            <w:rPr>
              <w:rFonts w:ascii="Arial" w:eastAsia="Arial Unicode MS" w:hAnsi="Arial" w:cs="Arial"/>
              <w:sz w:val="20"/>
              <w:szCs w:val="20"/>
            </w:rPr>
            <w:t>MALAYSIA</w:t>
          </w:r>
        </w:smartTag>
      </w:smartTag>
      <w:r w:rsidRPr="00AA2D7D">
        <w:rPr>
          <w:rFonts w:ascii="Arial" w:eastAsia="Arial Unicode MS" w:hAnsi="Arial" w:cs="Arial"/>
          <w:sz w:val="20"/>
          <w:szCs w:val="20"/>
        </w:rPr>
        <w:t xml:space="preserve"> SECURITIES BERHAD </w:t>
      </w:r>
    </w:p>
    <w:p w:rsidR="00304520" w:rsidRPr="00AA2D7D" w:rsidRDefault="00BD1D1F" w:rsidP="00304520">
      <w:pPr>
        <w:pStyle w:val="Heading"/>
        <w:rPr>
          <w:rFonts w:ascii="Arial" w:eastAsia="Arial Unicode MS" w:hAnsi="Arial" w:cs="Arial"/>
          <w:sz w:val="20"/>
          <w:szCs w:val="20"/>
        </w:rPr>
      </w:pPr>
      <w:r>
        <w:rPr>
          <w:rFonts w:ascii="Arial" w:eastAsia="Arial Unicode MS" w:hAnsi="Arial" w:cs="Arial"/>
          <w:sz w:val="20"/>
          <w:szCs w:val="20"/>
        </w:rPr>
        <w:t>B</w:t>
      </w:r>
      <w:r w:rsidR="003D1B84">
        <w:rPr>
          <w:rFonts w:ascii="Arial" w:eastAsia="Arial Unicode MS" w:hAnsi="Arial" w:cs="Arial"/>
          <w:sz w:val="20"/>
          <w:szCs w:val="20"/>
        </w:rPr>
        <w:t>15</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REVIEW OF PERFORMANCE</w:t>
      </w:r>
    </w:p>
    <w:p w:rsidR="00304520"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 Group record</w:t>
      </w:r>
      <w:r w:rsidR="00E54B7C">
        <w:rPr>
          <w:rFonts w:ascii="Arial" w:eastAsia="Arial Unicode MS" w:hAnsi="Arial" w:cs="Arial"/>
          <w:sz w:val="20"/>
          <w:szCs w:val="20"/>
        </w:rPr>
        <w:t>ed</w:t>
      </w:r>
      <w:r w:rsidR="00426C3F">
        <w:rPr>
          <w:rFonts w:ascii="Arial" w:eastAsia="Arial Unicode MS" w:hAnsi="Arial" w:cs="Arial"/>
          <w:sz w:val="20"/>
          <w:szCs w:val="20"/>
        </w:rPr>
        <w:t xml:space="preserve"> a </w:t>
      </w:r>
      <w:r w:rsidR="005055D0">
        <w:rPr>
          <w:rFonts w:ascii="Arial" w:eastAsia="Arial Unicode MS" w:hAnsi="Arial" w:cs="Arial"/>
          <w:sz w:val="20"/>
          <w:szCs w:val="20"/>
        </w:rPr>
        <w:t>loss</w:t>
      </w:r>
      <w:r w:rsidR="00426C3F">
        <w:rPr>
          <w:rFonts w:ascii="Arial" w:eastAsia="Arial Unicode MS" w:hAnsi="Arial" w:cs="Arial"/>
          <w:sz w:val="20"/>
          <w:szCs w:val="20"/>
        </w:rPr>
        <w:t xml:space="preserve"> before tax of RM</w:t>
      </w:r>
      <w:r w:rsidR="005055D0">
        <w:rPr>
          <w:rFonts w:ascii="Arial" w:eastAsia="Arial Unicode MS" w:hAnsi="Arial" w:cs="Arial"/>
          <w:sz w:val="20"/>
          <w:szCs w:val="20"/>
        </w:rPr>
        <w:t>0.</w:t>
      </w:r>
      <w:r w:rsidR="00426C3F">
        <w:rPr>
          <w:rFonts w:ascii="Arial" w:eastAsia="Arial Unicode MS" w:hAnsi="Arial" w:cs="Arial"/>
          <w:sz w:val="20"/>
          <w:szCs w:val="20"/>
        </w:rPr>
        <w:t>1</w:t>
      </w:r>
      <w:r w:rsidR="005055D0">
        <w:rPr>
          <w:rFonts w:ascii="Arial" w:eastAsia="Arial Unicode MS" w:hAnsi="Arial" w:cs="Arial"/>
          <w:sz w:val="20"/>
          <w:szCs w:val="20"/>
        </w:rPr>
        <w:t>59</w:t>
      </w:r>
      <w:r w:rsidRPr="00AA2D7D">
        <w:rPr>
          <w:rFonts w:ascii="Arial" w:eastAsia="Arial Unicode MS" w:hAnsi="Arial" w:cs="Arial"/>
          <w:sz w:val="20"/>
          <w:szCs w:val="20"/>
        </w:rPr>
        <w:t xml:space="preserve"> million in the current quarter as compared to a </w:t>
      </w:r>
      <w:r w:rsidR="005B5863">
        <w:rPr>
          <w:rFonts w:ascii="Arial" w:eastAsia="Arial Unicode MS" w:hAnsi="Arial" w:cs="Arial"/>
          <w:sz w:val="20"/>
          <w:szCs w:val="20"/>
        </w:rPr>
        <w:t>loss</w:t>
      </w:r>
      <w:r w:rsidRPr="00AA2D7D">
        <w:rPr>
          <w:rFonts w:ascii="Arial" w:eastAsia="Arial Unicode MS" w:hAnsi="Arial" w:cs="Arial"/>
          <w:sz w:val="20"/>
          <w:szCs w:val="20"/>
        </w:rPr>
        <w:t xml:space="preserve"> before tax of RM</w:t>
      </w:r>
      <w:r w:rsidR="00B10EE2">
        <w:rPr>
          <w:rFonts w:ascii="Arial" w:eastAsia="Arial Unicode MS" w:hAnsi="Arial" w:cs="Arial"/>
          <w:sz w:val="20"/>
          <w:szCs w:val="20"/>
        </w:rPr>
        <w:t>0.</w:t>
      </w:r>
      <w:r w:rsidR="005B5863">
        <w:rPr>
          <w:rFonts w:ascii="Arial" w:eastAsia="Arial Unicode MS" w:hAnsi="Arial" w:cs="Arial"/>
          <w:sz w:val="20"/>
          <w:szCs w:val="20"/>
        </w:rPr>
        <w:t>051</w:t>
      </w:r>
      <w:r w:rsidRPr="00AA2D7D">
        <w:rPr>
          <w:rFonts w:ascii="Arial" w:eastAsia="Arial Unicode MS" w:hAnsi="Arial" w:cs="Arial"/>
          <w:sz w:val="20"/>
          <w:szCs w:val="20"/>
        </w:rPr>
        <w:t xml:space="preserve"> million in the same quarter o</w:t>
      </w:r>
      <w:r w:rsidR="00607D16">
        <w:rPr>
          <w:rFonts w:ascii="Arial" w:eastAsia="Arial Unicode MS" w:hAnsi="Arial" w:cs="Arial"/>
          <w:sz w:val="20"/>
          <w:szCs w:val="20"/>
        </w:rPr>
        <w:t xml:space="preserve">f the preceding year. </w:t>
      </w:r>
      <w:r w:rsidR="006B2710">
        <w:rPr>
          <w:rFonts w:ascii="Arial" w:eastAsia="Arial Unicode MS" w:hAnsi="Arial" w:cs="Arial"/>
          <w:sz w:val="20"/>
          <w:szCs w:val="20"/>
        </w:rPr>
        <w:t xml:space="preserve"> </w:t>
      </w:r>
      <w:r w:rsidR="00607D16">
        <w:rPr>
          <w:rFonts w:ascii="Arial" w:eastAsia="Arial Unicode MS" w:hAnsi="Arial" w:cs="Arial"/>
          <w:sz w:val="20"/>
          <w:szCs w:val="20"/>
        </w:rPr>
        <w:t xml:space="preserve">The </w:t>
      </w:r>
      <w:r w:rsidR="005B5863">
        <w:rPr>
          <w:rFonts w:ascii="Arial" w:eastAsia="Arial Unicode MS" w:hAnsi="Arial" w:cs="Arial"/>
          <w:sz w:val="20"/>
          <w:szCs w:val="20"/>
        </w:rPr>
        <w:t>loss</w:t>
      </w:r>
      <w:r w:rsidRPr="00AA2D7D">
        <w:rPr>
          <w:rFonts w:ascii="Arial" w:eastAsia="Arial Unicode MS" w:hAnsi="Arial" w:cs="Arial"/>
          <w:sz w:val="20"/>
          <w:szCs w:val="20"/>
        </w:rPr>
        <w:t xml:space="preserve"> recorded was mainly due </w:t>
      </w:r>
      <w:r w:rsidR="005B5863">
        <w:rPr>
          <w:rFonts w:ascii="Arial" w:eastAsia="Arial Unicode MS" w:hAnsi="Arial" w:cs="Arial"/>
          <w:sz w:val="20"/>
          <w:szCs w:val="20"/>
        </w:rPr>
        <w:t>to an incre</w:t>
      </w:r>
      <w:r w:rsidR="006E3704">
        <w:rPr>
          <w:rFonts w:ascii="Arial" w:eastAsia="Arial Unicode MS" w:hAnsi="Arial" w:cs="Arial"/>
          <w:sz w:val="20"/>
          <w:szCs w:val="20"/>
        </w:rPr>
        <w:t>ase</w:t>
      </w:r>
      <w:r w:rsidR="005B5863">
        <w:rPr>
          <w:rFonts w:ascii="Arial" w:eastAsia="Arial Unicode MS" w:hAnsi="Arial" w:cs="Arial"/>
          <w:sz w:val="20"/>
          <w:szCs w:val="20"/>
        </w:rPr>
        <w:t xml:space="preserve"> in administrative expenses</w:t>
      </w:r>
      <w:r w:rsidR="00E54B7C">
        <w:rPr>
          <w:rFonts w:ascii="Arial" w:eastAsia="Arial Unicode MS" w:hAnsi="Arial" w:cs="Arial"/>
          <w:sz w:val="20"/>
          <w:szCs w:val="20"/>
        </w:rPr>
        <w:t xml:space="preserve"> in this</w:t>
      </w:r>
      <w:r w:rsidR="003F0145">
        <w:rPr>
          <w:rFonts w:ascii="Arial" w:eastAsia="Arial Unicode MS" w:hAnsi="Arial" w:cs="Arial"/>
          <w:sz w:val="20"/>
          <w:szCs w:val="20"/>
        </w:rPr>
        <w:t xml:space="preserve"> quarter.</w:t>
      </w:r>
      <w:r w:rsidRPr="00AA2D7D">
        <w:rPr>
          <w:rFonts w:ascii="Arial" w:eastAsia="Arial Unicode MS" w:hAnsi="Arial" w:cs="Arial"/>
          <w:sz w:val="20"/>
          <w:szCs w:val="20"/>
        </w:rPr>
        <w:t xml:space="preserve"> </w:t>
      </w:r>
    </w:p>
    <w:p w:rsidR="00BA32E0" w:rsidRPr="00AA2D7D" w:rsidRDefault="00BA32E0" w:rsidP="00304520">
      <w:pPr>
        <w:pStyle w:val="Text"/>
        <w:rPr>
          <w:rFonts w:ascii="Arial" w:eastAsia="Arial Unicode MS" w:hAnsi="Arial" w:cs="Arial"/>
          <w:sz w:val="20"/>
          <w:szCs w:val="20"/>
        </w:rPr>
      </w:pPr>
      <w:r>
        <w:rPr>
          <w:rFonts w:ascii="Arial" w:eastAsia="Arial Unicode MS" w:hAnsi="Arial" w:cs="Arial"/>
          <w:sz w:val="20"/>
          <w:szCs w:val="20"/>
        </w:rPr>
        <w:t xml:space="preserve">For the year-to-date, the Group recorded operating </w:t>
      </w:r>
      <w:r w:rsidR="00DC3FBB">
        <w:rPr>
          <w:rFonts w:ascii="Arial" w:eastAsia="Arial Unicode MS" w:hAnsi="Arial" w:cs="Arial"/>
          <w:sz w:val="20"/>
          <w:szCs w:val="20"/>
        </w:rPr>
        <w:t xml:space="preserve">revenue of RM4.087 million representing a growth of 149.21% over the preceding year, attributable mainly to the construction division. The Group profit before tax increased by RM100.54 million as compared to preceding year. </w:t>
      </w:r>
      <w:r w:rsidR="006B2710">
        <w:rPr>
          <w:rFonts w:ascii="Arial" w:eastAsia="Arial Unicode MS" w:hAnsi="Arial" w:cs="Arial"/>
          <w:sz w:val="20"/>
          <w:szCs w:val="20"/>
        </w:rPr>
        <w:t xml:space="preserve"> </w:t>
      </w:r>
      <w:r w:rsidR="00DC3FBB">
        <w:rPr>
          <w:rFonts w:ascii="Arial" w:eastAsia="Arial Unicode MS" w:hAnsi="Arial" w:cs="Arial"/>
          <w:sz w:val="20"/>
          <w:szCs w:val="20"/>
        </w:rPr>
        <w:t>I</w:t>
      </w:r>
      <w:r w:rsidR="0098509D">
        <w:rPr>
          <w:rFonts w:ascii="Arial" w:eastAsia="Arial Unicode MS" w:hAnsi="Arial" w:cs="Arial"/>
          <w:sz w:val="20"/>
          <w:szCs w:val="20"/>
        </w:rPr>
        <w:t xml:space="preserve">t’s </w:t>
      </w:r>
      <w:r w:rsidR="00DC3FBB">
        <w:rPr>
          <w:rFonts w:ascii="Arial" w:eastAsia="Arial Unicode MS" w:hAnsi="Arial" w:cs="Arial"/>
          <w:sz w:val="20"/>
          <w:szCs w:val="20"/>
        </w:rPr>
        <w:t xml:space="preserve">mainly due to debt relief arising from </w:t>
      </w:r>
      <w:r w:rsidR="00200049">
        <w:rPr>
          <w:rFonts w:ascii="Arial" w:eastAsia="Arial Unicode MS" w:hAnsi="Arial" w:cs="Arial"/>
          <w:sz w:val="20"/>
          <w:szCs w:val="20"/>
        </w:rPr>
        <w:t xml:space="preserve">the completion of the corporate </w:t>
      </w:r>
      <w:r w:rsidR="00DC3FBB">
        <w:rPr>
          <w:rFonts w:ascii="Arial" w:eastAsia="Arial Unicode MS" w:hAnsi="Arial" w:cs="Arial"/>
          <w:sz w:val="20"/>
          <w:szCs w:val="20"/>
        </w:rPr>
        <w:t>restructuring scheme.</w:t>
      </w:r>
    </w:p>
    <w:p w:rsidR="00304520" w:rsidRPr="00AA2D7D" w:rsidRDefault="00DC3FBB" w:rsidP="00304520">
      <w:pPr>
        <w:pStyle w:val="Heading"/>
        <w:rPr>
          <w:rFonts w:ascii="Arial" w:eastAsia="Arial Unicode MS" w:hAnsi="Arial" w:cs="Arial"/>
          <w:sz w:val="20"/>
          <w:szCs w:val="20"/>
        </w:rPr>
      </w:pPr>
      <w:r>
        <w:rPr>
          <w:rFonts w:ascii="Arial" w:eastAsia="Arial Unicode MS" w:hAnsi="Arial" w:cs="Arial"/>
          <w:sz w:val="20"/>
          <w:szCs w:val="20"/>
        </w:rPr>
        <w:t>B</w:t>
      </w:r>
      <w:r w:rsidR="003D1B84">
        <w:rPr>
          <w:rFonts w:ascii="Arial" w:eastAsia="Arial Unicode MS" w:hAnsi="Arial" w:cs="Arial"/>
          <w:sz w:val="20"/>
          <w:szCs w:val="20"/>
        </w:rPr>
        <w:t>16</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EXPLANATORY NOTE ON MATERIAL CHANGE</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 xml:space="preserve">There has been no material change during the current quarter. </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lastRenderedPageBreak/>
        <w:t>B</w:t>
      </w:r>
      <w:r w:rsidR="003D1B84">
        <w:rPr>
          <w:rFonts w:ascii="Arial" w:eastAsia="Arial Unicode MS" w:hAnsi="Arial" w:cs="Arial"/>
          <w:sz w:val="20"/>
          <w:szCs w:val="20"/>
        </w:rPr>
        <w:t>17</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PROSPECTS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 Group faces more challenges in an unstab</w:t>
      </w:r>
      <w:r w:rsidR="00114F35">
        <w:rPr>
          <w:rFonts w:ascii="Arial" w:eastAsia="Arial Unicode MS" w:hAnsi="Arial" w:cs="Arial"/>
          <w:sz w:val="20"/>
          <w:szCs w:val="20"/>
        </w:rPr>
        <w:t>le operating environment in 2011</w:t>
      </w:r>
      <w:r w:rsidRPr="00AA2D7D">
        <w:rPr>
          <w:rFonts w:ascii="Arial" w:eastAsia="Arial Unicode MS" w:hAnsi="Arial" w:cs="Arial"/>
          <w:sz w:val="20"/>
          <w:szCs w:val="20"/>
        </w:rPr>
        <w:t>.</w:t>
      </w:r>
      <w:r w:rsidR="00114F35">
        <w:rPr>
          <w:rFonts w:ascii="Arial" w:eastAsia="Arial Unicode MS" w:hAnsi="Arial" w:cs="Arial"/>
          <w:sz w:val="20"/>
          <w:szCs w:val="20"/>
        </w:rPr>
        <w:t xml:space="preserve"> However with the successful completion and implementation of the PCRE on 30 June 2011, (explained in note </w:t>
      </w:r>
      <w:r w:rsidR="0098509D">
        <w:rPr>
          <w:rFonts w:ascii="Arial" w:eastAsia="Arial Unicode MS" w:hAnsi="Arial" w:cs="Arial"/>
          <w:sz w:val="20"/>
          <w:szCs w:val="20"/>
        </w:rPr>
        <w:t>B</w:t>
      </w:r>
      <w:r w:rsidR="00114F35">
        <w:rPr>
          <w:rFonts w:ascii="Arial" w:eastAsia="Arial Unicode MS" w:hAnsi="Arial" w:cs="Arial"/>
          <w:sz w:val="20"/>
          <w:szCs w:val="20"/>
        </w:rPr>
        <w:t>23) the</w:t>
      </w:r>
      <w:r w:rsidRPr="00AA2D7D">
        <w:rPr>
          <w:rFonts w:ascii="Arial" w:eastAsia="Arial Unicode MS" w:hAnsi="Arial" w:cs="Arial"/>
          <w:sz w:val="20"/>
          <w:szCs w:val="20"/>
        </w:rPr>
        <w:t xml:space="preserve"> Group </w:t>
      </w:r>
      <w:r w:rsidR="00114F35">
        <w:rPr>
          <w:rFonts w:ascii="Arial" w:eastAsia="Arial Unicode MS" w:hAnsi="Arial" w:cs="Arial"/>
          <w:sz w:val="20"/>
          <w:szCs w:val="20"/>
        </w:rPr>
        <w:t>is hopeful of an improved operational performance moving forward</w:t>
      </w:r>
      <w:r w:rsidRPr="00AA2D7D">
        <w:rPr>
          <w:rFonts w:ascii="Arial" w:eastAsia="Arial Unicode MS" w:hAnsi="Arial" w:cs="Arial"/>
          <w:sz w:val="20"/>
          <w:szCs w:val="20"/>
        </w:rPr>
        <w:t>.</w:t>
      </w:r>
    </w:p>
    <w:p w:rsidR="00304520" w:rsidRPr="00AA2D7D" w:rsidRDefault="00114F35" w:rsidP="00304520">
      <w:pPr>
        <w:pStyle w:val="Text"/>
        <w:rPr>
          <w:rFonts w:ascii="Arial" w:eastAsia="Arial Unicode MS" w:hAnsi="Arial" w:cs="Arial"/>
          <w:sz w:val="20"/>
          <w:szCs w:val="20"/>
        </w:rPr>
      </w:pPr>
      <w:r>
        <w:rPr>
          <w:rFonts w:ascii="Arial" w:eastAsia="Arial Unicode MS" w:hAnsi="Arial" w:cs="Arial"/>
          <w:sz w:val="20"/>
          <w:szCs w:val="20"/>
        </w:rPr>
        <w:t>The Group is also putting in place</w:t>
      </w:r>
      <w:r w:rsidR="00304520" w:rsidRPr="00AA2D7D">
        <w:rPr>
          <w:rFonts w:ascii="Arial" w:eastAsia="Arial Unicode MS" w:hAnsi="Arial" w:cs="Arial"/>
          <w:sz w:val="20"/>
          <w:szCs w:val="20"/>
        </w:rPr>
        <w:t xml:space="preserve"> its many measures to build on its order book concentrating initially mainly on local projects and proceeding with new launches at our development project in Kuala </w:t>
      </w:r>
      <w:proofErr w:type="spellStart"/>
      <w:r w:rsidR="00304520" w:rsidRPr="00AA2D7D">
        <w:rPr>
          <w:rFonts w:ascii="Arial" w:eastAsia="Arial Unicode MS" w:hAnsi="Arial" w:cs="Arial"/>
          <w:sz w:val="20"/>
          <w:szCs w:val="20"/>
        </w:rPr>
        <w:t>Kubu</w:t>
      </w:r>
      <w:proofErr w:type="spellEnd"/>
      <w:r w:rsidR="00304520" w:rsidRPr="00AA2D7D">
        <w:rPr>
          <w:rFonts w:ascii="Arial" w:eastAsia="Arial Unicode MS" w:hAnsi="Arial" w:cs="Arial"/>
          <w:sz w:val="20"/>
          <w:szCs w:val="20"/>
        </w:rPr>
        <w:t xml:space="preserve"> </w:t>
      </w:r>
      <w:proofErr w:type="spellStart"/>
      <w:r w:rsidR="00304520" w:rsidRPr="00AA2D7D">
        <w:rPr>
          <w:rFonts w:ascii="Arial" w:eastAsia="Arial Unicode MS" w:hAnsi="Arial" w:cs="Arial"/>
          <w:sz w:val="20"/>
          <w:szCs w:val="20"/>
        </w:rPr>
        <w:t>Bahru</w:t>
      </w:r>
      <w:proofErr w:type="spellEnd"/>
      <w:r w:rsidR="00304520" w:rsidRPr="00AA2D7D">
        <w:rPr>
          <w:rFonts w:ascii="Arial" w:eastAsia="Arial Unicode MS" w:hAnsi="Arial" w:cs="Arial"/>
          <w:sz w:val="20"/>
          <w:szCs w:val="20"/>
        </w:rPr>
        <w:t xml:space="preserve">, Selangor (“KKB”). The Group is also exploring smart partnerships with land owners to leverage and take advantage of a </w:t>
      </w:r>
      <w:proofErr w:type="spellStart"/>
      <w:r w:rsidR="00304520" w:rsidRPr="00AA2D7D">
        <w:rPr>
          <w:rFonts w:ascii="Arial" w:eastAsia="Arial Unicode MS" w:hAnsi="Arial" w:cs="Arial"/>
          <w:sz w:val="20"/>
          <w:szCs w:val="20"/>
        </w:rPr>
        <w:t>pick up</w:t>
      </w:r>
      <w:proofErr w:type="spellEnd"/>
      <w:r w:rsidR="00304520" w:rsidRPr="00AA2D7D">
        <w:rPr>
          <w:rFonts w:ascii="Arial" w:eastAsia="Arial Unicode MS" w:hAnsi="Arial" w:cs="Arial"/>
          <w:sz w:val="20"/>
          <w:szCs w:val="20"/>
        </w:rPr>
        <w:t xml:space="preserve"> in the industry expected in the not too distant future.</w:t>
      </w:r>
    </w:p>
    <w:p w:rsidR="004F7586" w:rsidRPr="00AA2D7D" w:rsidRDefault="00352EEF" w:rsidP="004F7586">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1</w:t>
      </w:r>
      <w:r>
        <w:rPr>
          <w:rFonts w:ascii="Arial" w:eastAsia="Arial Unicode MS" w:hAnsi="Arial" w:cs="Arial"/>
          <w:sz w:val="20"/>
          <w:szCs w:val="20"/>
        </w:rPr>
        <w:t>8</w:t>
      </w:r>
      <w:r w:rsidR="004F7586" w:rsidRPr="00AA2D7D">
        <w:rPr>
          <w:rFonts w:ascii="Arial" w:eastAsia="Arial Unicode MS" w:hAnsi="Arial" w:cs="Arial"/>
          <w:sz w:val="20"/>
          <w:szCs w:val="20"/>
        </w:rPr>
        <w:t>.</w:t>
      </w:r>
      <w:r>
        <w:rPr>
          <w:rFonts w:ascii="Arial" w:eastAsia="Arial Unicode MS" w:hAnsi="Arial" w:cs="Arial"/>
          <w:sz w:val="20"/>
          <w:szCs w:val="20"/>
        </w:rPr>
        <w:t xml:space="preserve">  </w:t>
      </w:r>
      <w:r w:rsidR="004F7586">
        <w:rPr>
          <w:rFonts w:ascii="Arial" w:eastAsia="Arial Unicode MS" w:hAnsi="Arial" w:cs="Arial"/>
          <w:sz w:val="20"/>
          <w:szCs w:val="20"/>
        </w:rPr>
        <w:t>EARNING PER SHARE</w:t>
      </w:r>
    </w:p>
    <w:p w:rsidR="004F7586" w:rsidRPr="001F1545" w:rsidRDefault="004F7586" w:rsidP="00E553A0">
      <w:pPr>
        <w:pStyle w:val="Text"/>
        <w:rPr>
          <w:rFonts w:ascii="Arial" w:eastAsia="Arial Unicode MS" w:hAnsi="Arial" w:cs="Arial"/>
          <w:sz w:val="20"/>
          <w:szCs w:val="20"/>
        </w:rPr>
      </w:pPr>
      <w:r w:rsidRPr="001F1545">
        <w:rPr>
          <w:rFonts w:ascii="Arial" w:eastAsia="Arial Unicode MS" w:hAnsi="Arial" w:cs="Arial"/>
          <w:sz w:val="20"/>
          <w:szCs w:val="20"/>
        </w:rPr>
        <w:t>The profit per share</w:t>
      </w:r>
      <w:r w:rsidR="001F1545">
        <w:rPr>
          <w:rFonts w:ascii="Arial" w:eastAsia="Arial Unicode MS" w:hAnsi="Arial" w:cs="Arial"/>
          <w:sz w:val="20"/>
          <w:szCs w:val="20"/>
        </w:rPr>
        <w:t xml:space="preserve"> is computed based on the </w:t>
      </w:r>
      <w:r w:rsidR="00E54B7C">
        <w:rPr>
          <w:rFonts w:ascii="Arial" w:eastAsia="Arial Unicode MS" w:hAnsi="Arial" w:cs="Arial"/>
          <w:sz w:val="20"/>
          <w:szCs w:val="20"/>
        </w:rPr>
        <w:t>profit</w:t>
      </w:r>
      <w:r w:rsidR="00607D16" w:rsidRPr="001F1545">
        <w:rPr>
          <w:rFonts w:ascii="Arial" w:eastAsia="Arial Unicode MS" w:hAnsi="Arial" w:cs="Arial"/>
          <w:sz w:val="20"/>
          <w:szCs w:val="20"/>
        </w:rPr>
        <w:t xml:space="preserve"> for</w:t>
      </w:r>
      <w:r w:rsidR="001F1545">
        <w:rPr>
          <w:rFonts w:ascii="Arial" w:eastAsia="Arial Unicode MS" w:hAnsi="Arial" w:cs="Arial"/>
          <w:sz w:val="20"/>
          <w:szCs w:val="20"/>
        </w:rPr>
        <w:t xml:space="preserve"> the financial year of RM</w:t>
      </w:r>
      <w:r w:rsidR="00426C3F">
        <w:rPr>
          <w:rFonts w:ascii="Arial" w:eastAsia="Arial Unicode MS" w:hAnsi="Arial" w:cs="Arial"/>
          <w:sz w:val="20"/>
          <w:szCs w:val="20"/>
        </w:rPr>
        <w:t>100.</w:t>
      </w:r>
      <w:r w:rsidR="00BB703E">
        <w:rPr>
          <w:rFonts w:ascii="Arial" w:eastAsia="Arial Unicode MS" w:hAnsi="Arial" w:cs="Arial"/>
          <w:sz w:val="20"/>
          <w:szCs w:val="20"/>
        </w:rPr>
        <w:t>769</w:t>
      </w:r>
      <w:r w:rsidR="00E553A0">
        <w:rPr>
          <w:rFonts w:ascii="Arial" w:eastAsia="Arial Unicode MS" w:hAnsi="Arial" w:cs="Arial"/>
          <w:sz w:val="20"/>
          <w:szCs w:val="20"/>
        </w:rPr>
        <w:t xml:space="preserve"> million</w:t>
      </w:r>
      <w:r w:rsidR="00B10EE2" w:rsidRPr="001F1545">
        <w:rPr>
          <w:rFonts w:ascii="Arial" w:eastAsia="Arial Unicode MS" w:hAnsi="Arial" w:cs="Arial"/>
          <w:sz w:val="20"/>
          <w:szCs w:val="20"/>
        </w:rPr>
        <w:t xml:space="preserve"> (2010</w:t>
      </w:r>
      <w:r w:rsidRPr="001F1545">
        <w:rPr>
          <w:rFonts w:ascii="Arial" w:eastAsia="Arial Unicode MS" w:hAnsi="Arial" w:cs="Arial"/>
          <w:sz w:val="20"/>
          <w:szCs w:val="20"/>
        </w:rPr>
        <w:t>: net profit for the financial year of RM</w:t>
      </w:r>
      <w:r w:rsidR="00E553A0">
        <w:rPr>
          <w:rFonts w:ascii="Arial" w:eastAsia="Arial Unicode MS" w:hAnsi="Arial" w:cs="Arial"/>
          <w:sz w:val="20"/>
          <w:szCs w:val="20"/>
        </w:rPr>
        <w:t>0.</w:t>
      </w:r>
      <w:r w:rsidR="00426C3F">
        <w:rPr>
          <w:rFonts w:ascii="Arial" w:eastAsia="Arial Unicode MS" w:hAnsi="Arial" w:cs="Arial"/>
          <w:sz w:val="20"/>
          <w:szCs w:val="20"/>
        </w:rPr>
        <w:t>2</w:t>
      </w:r>
      <w:r w:rsidR="00BB703E">
        <w:rPr>
          <w:rFonts w:ascii="Arial" w:eastAsia="Arial Unicode MS" w:hAnsi="Arial" w:cs="Arial"/>
          <w:sz w:val="20"/>
          <w:szCs w:val="20"/>
        </w:rPr>
        <w:t>2</w:t>
      </w:r>
      <w:r w:rsidR="00426C3F">
        <w:rPr>
          <w:rFonts w:ascii="Arial" w:eastAsia="Arial Unicode MS" w:hAnsi="Arial" w:cs="Arial"/>
          <w:sz w:val="20"/>
          <w:szCs w:val="20"/>
        </w:rPr>
        <w:t>6</w:t>
      </w:r>
      <w:r w:rsidR="00E553A0">
        <w:rPr>
          <w:rFonts w:ascii="Arial" w:eastAsia="Arial Unicode MS" w:hAnsi="Arial" w:cs="Arial"/>
          <w:sz w:val="20"/>
          <w:szCs w:val="20"/>
        </w:rPr>
        <w:t xml:space="preserve"> million</w:t>
      </w:r>
      <w:r w:rsidRPr="001F1545">
        <w:rPr>
          <w:rFonts w:ascii="Arial" w:eastAsia="Arial Unicode MS" w:hAnsi="Arial" w:cs="Arial"/>
          <w:sz w:val="20"/>
          <w:szCs w:val="20"/>
        </w:rPr>
        <w:t xml:space="preserve">) and on the number of the ordinary shares in issue during the financial year of </w:t>
      </w:r>
      <w:r w:rsidR="00B632CB">
        <w:rPr>
          <w:rFonts w:ascii="Arial" w:eastAsia="Arial Unicode MS" w:hAnsi="Arial" w:cs="Arial"/>
          <w:sz w:val="20"/>
          <w:szCs w:val="20"/>
        </w:rPr>
        <w:t>41,110,025</w:t>
      </w:r>
      <w:r w:rsidR="00B10EE2" w:rsidRPr="001F1545">
        <w:rPr>
          <w:rFonts w:ascii="Arial" w:eastAsia="Arial Unicode MS" w:hAnsi="Arial" w:cs="Arial"/>
          <w:sz w:val="20"/>
          <w:szCs w:val="20"/>
        </w:rPr>
        <w:t xml:space="preserve"> (2010</w:t>
      </w:r>
      <w:r w:rsidR="00B2193E" w:rsidRPr="001F1545">
        <w:rPr>
          <w:rFonts w:ascii="Arial" w:eastAsia="Arial Unicode MS" w:hAnsi="Arial" w:cs="Arial"/>
          <w:sz w:val="20"/>
          <w:szCs w:val="20"/>
        </w:rPr>
        <w:t>: 41,268,600)</w:t>
      </w:r>
      <w:r w:rsidRPr="001F1545">
        <w:rPr>
          <w:rFonts w:ascii="Arial" w:eastAsia="Arial Unicode MS" w:hAnsi="Arial" w:cs="Arial"/>
          <w:sz w:val="20"/>
          <w:szCs w:val="20"/>
        </w:rPr>
        <w:t>.</w:t>
      </w:r>
    </w:p>
    <w:p w:rsidR="00B2193E" w:rsidRDefault="00B2193E" w:rsidP="004F7586">
      <w:pPr>
        <w:pStyle w:val="Text"/>
        <w:rPr>
          <w:rFonts w:ascii="Arial" w:eastAsia="Arial Unicode MS" w:hAnsi="Arial" w:cs="Arial"/>
          <w:sz w:val="20"/>
          <w:szCs w:val="20"/>
        </w:rPr>
      </w:pPr>
      <w:r w:rsidRPr="001F1545">
        <w:rPr>
          <w:rFonts w:ascii="Arial" w:eastAsia="Arial Unicode MS" w:hAnsi="Arial" w:cs="Arial"/>
          <w:sz w:val="20"/>
          <w:szCs w:val="20"/>
        </w:rPr>
        <w:t>Diluted earnings per ordinary share are not presented as there is no di</w:t>
      </w:r>
      <w:r w:rsidR="00220FA4">
        <w:rPr>
          <w:rFonts w:ascii="Arial" w:eastAsia="Arial Unicode MS" w:hAnsi="Arial" w:cs="Arial"/>
          <w:sz w:val="20"/>
          <w:szCs w:val="20"/>
        </w:rPr>
        <w:t>lutive potential ordinary share</w:t>
      </w:r>
      <w:r w:rsidRPr="001F1545">
        <w:rPr>
          <w:rFonts w:ascii="Arial" w:eastAsia="Arial Unicode MS" w:hAnsi="Arial" w:cs="Arial"/>
          <w:sz w:val="20"/>
          <w:szCs w:val="20"/>
        </w:rPr>
        <w:t xml:space="preserve"> outstanding during the financial year.</w:t>
      </w:r>
    </w:p>
    <w:p w:rsidR="00352EEF" w:rsidRPr="00AA2D7D" w:rsidRDefault="00352EEF" w:rsidP="00352EEF">
      <w:pPr>
        <w:pStyle w:val="Heading"/>
        <w:rPr>
          <w:rFonts w:ascii="Arial" w:eastAsia="Arial Unicode MS" w:hAnsi="Arial" w:cs="Arial"/>
          <w:sz w:val="20"/>
          <w:szCs w:val="20"/>
        </w:rPr>
      </w:pPr>
      <w:r>
        <w:rPr>
          <w:rFonts w:ascii="Arial" w:eastAsia="Arial Unicode MS" w:hAnsi="Arial" w:cs="Arial"/>
          <w:sz w:val="20"/>
          <w:szCs w:val="20"/>
        </w:rPr>
        <w:t>B19</w:t>
      </w:r>
      <w:r w:rsidRPr="00AA2D7D">
        <w:rPr>
          <w:rFonts w:ascii="Arial" w:eastAsia="Arial Unicode MS" w:hAnsi="Arial" w:cs="Arial"/>
          <w:sz w:val="20"/>
          <w:szCs w:val="20"/>
        </w:rPr>
        <w:t>.</w:t>
      </w:r>
      <w:r>
        <w:rPr>
          <w:rFonts w:ascii="Arial" w:eastAsia="Arial Unicode MS" w:hAnsi="Arial" w:cs="Arial"/>
          <w:sz w:val="20"/>
          <w:szCs w:val="20"/>
        </w:rPr>
        <w:t xml:space="preserve">  </w:t>
      </w:r>
      <w:r w:rsidRPr="00AA2D7D">
        <w:rPr>
          <w:rFonts w:ascii="Arial" w:eastAsia="Arial Unicode MS" w:hAnsi="Arial" w:cs="Arial"/>
          <w:sz w:val="20"/>
          <w:szCs w:val="20"/>
        </w:rPr>
        <w:t>EXPLANATORY NOTE ON PROFIT FORECAST/GUARANTEE</w:t>
      </w:r>
    </w:p>
    <w:p w:rsidR="00352EEF" w:rsidRDefault="00352EEF" w:rsidP="00352EEF">
      <w:pPr>
        <w:pStyle w:val="Text"/>
        <w:rPr>
          <w:rFonts w:eastAsia="Arial Unicode MS"/>
        </w:rPr>
      </w:pPr>
      <w:r w:rsidRPr="001F1545">
        <w:rPr>
          <w:rFonts w:ascii="Arial" w:eastAsia="Arial Unicode MS" w:hAnsi="Arial" w:cs="Arial"/>
          <w:sz w:val="20"/>
          <w:szCs w:val="20"/>
        </w:rPr>
        <w:t>No profit forecast / guarantee have been given by the company</w:t>
      </w:r>
      <w:r w:rsidRPr="00AA2D7D">
        <w:rPr>
          <w:rFonts w:eastAsia="Arial Unicode MS"/>
        </w:rPr>
        <w:t>.</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20</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TAXATION</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Taxation for the current period is as follows:</w:t>
      </w:r>
    </w:p>
    <w:p w:rsidR="00304520" w:rsidRPr="00AA2D7D" w:rsidRDefault="00352EEF" w:rsidP="00304520">
      <w:pPr>
        <w:rPr>
          <w:rFonts w:ascii="Arial" w:eastAsia="Arial Unicode MS" w:hAnsi="Arial" w:cs="Arial"/>
          <w:sz w:val="20"/>
          <w:szCs w:val="20"/>
        </w:rPr>
      </w:pPr>
      <w:r w:rsidRPr="00AA2D7D">
        <w:rPr>
          <w:rFonts w:ascii="Arial" w:eastAsia="Arial Unicode MS" w:hAnsi="Arial" w:cs="Arial"/>
          <w:sz w:val="20"/>
          <w:szCs w:val="20"/>
        </w:rPr>
        <w:object w:dxaOrig="6043" w:dyaOrig="1759">
          <v:shape id="_x0000_i1031" type="#_x0000_t75" style="width:281.25pt;height:88.5pt" o:ole="">
            <v:imagedata r:id="rId19" o:title=""/>
          </v:shape>
          <o:OLEObject Type="Embed" ProgID="Excel.Sheet.8" ShapeID="_x0000_i1031" DrawAspect="Content" ObjectID="_1391958087" r:id="rId20"/>
        </w:object>
      </w:r>
    </w:p>
    <w:p w:rsidR="00304520"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No taxation has been provided in the current year to date.</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21</w:t>
      </w:r>
      <w:r>
        <w:rPr>
          <w:rFonts w:ascii="Arial" w:eastAsia="Arial Unicode MS" w:hAnsi="Arial" w:cs="Arial"/>
          <w:sz w:val="20"/>
          <w:szCs w:val="20"/>
        </w:rPr>
        <w:t xml:space="preserve">.  </w:t>
      </w:r>
      <w:r w:rsidR="00304520" w:rsidRPr="00AA2D7D">
        <w:rPr>
          <w:rFonts w:ascii="Arial" w:eastAsia="Arial Unicode MS" w:hAnsi="Arial" w:cs="Arial"/>
          <w:sz w:val="20"/>
          <w:szCs w:val="20"/>
        </w:rPr>
        <w:t>UNQUOTED INVESTMENTS / PROPERTIES</w:t>
      </w:r>
    </w:p>
    <w:p w:rsidR="00304520" w:rsidRPr="00AA2D7D" w:rsidRDefault="00304520" w:rsidP="00304520">
      <w:pPr>
        <w:pStyle w:val="BodyTextIndent"/>
        <w:rPr>
          <w:rFonts w:ascii="Arial" w:eastAsia="Arial Unicode MS" w:hAnsi="Arial" w:cs="Arial"/>
          <w:szCs w:val="20"/>
        </w:rPr>
      </w:pPr>
    </w:p>
    <w:p w:rsidR="00304520"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has been no disposal of any unquoted securities or properties during the current quarter.</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22</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QUOTED SECURITIES</w:t>
      </w:r>
    </w:p>
    <w:p w:rsidR="00304520" w:rsidRPr="00AA2D7D" w:rsidRDefault="00304520" w:rsidP="00304520">
      <w:pPr>
        <w:pStyle w:val="BodyTextIndent"/>
        <w:rPr>
          <w:rFonts w:ascii="Arial" w:eastAsia="Arial Unicode MS" w:hAnsi="Arial" w:cs="Arial"/>
          <w:szCs w:val="20"/>
        </w:rPr>
      </w:pPr>
    </w:p>
    <w:p w:rsidR="00304520"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lastRenderedPageBreak/>
        <w:t xml:space="preserve">There has been no purchase or disposal of any quoted securities during the current quarter. </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23</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CORPORATE PROPOSALS</w:t>
      </w:r>
    </w:p>
    <w:p w:rsidR="003F0145" w:rsidRPr="003F0145" w:rsidRDefault="003F0145" w:rsidP="003F0145">
      <w:pPr>
        <w:rPr>
          <w:rFonts w:ascii="Arial" w:hAnsi="Arial" w:cs="Arial"/>
          <w:sz w:val="20"/>
          <w:szCs w:val="20"/>
        </w:rPr>
      </w:pPr>
    </w:p>
    <w:p w:rsidR="003F0145" w:rsidRDefault="00FD38E2" w:rsidP="003F0145">
      <w:pPr>
        <w:rPr>
          <w:rFonts w:ascii="Arial" w:hAnsi="Arial" w:cs="Arial"/>
          <w:sz w:val="20"/>
          <w:szCs w:val="20"/>
        </w:rPr>
      </w:pPr>
      <w:r>
        <w:rPr>
          <w:rFonts w:ascii="Arial" w:hAnsi="Arial" w:cs="Arial"/>
          <w:sz w:val="20"/>
          <w:szCs w:val="20"/>
        </w:rPr>
        <w:t xml:space="preserve">With the completion of the </w:t>
      </w:r>
      <w:proofErr w:type="spellStart"/>
      <w:r>
        <w:rPr>
          <w:rFonts w:ascii="Arial" w:hAnsi="Arial" w:cs="Arial"/>
          <w:sz w:val="20"/>
          <w:szCs w:val="20"/>
        </w:rPr>
        <w:t>regularisation</w:t>
      </w:r>
      <w:proofErr w:type="spellEnd"/>
      <w:r>
        <w:rPr>
          <w:rFonts w:ascii="Arial" w:hAnsi="Arial" w:cs="Arial"/>
          <w:sz w:val="20"/>
          <w:szCs w:val="20"/>
        </w:rPr>
        <w:t xml:space="preserve"> plan, the</w:t>
      </w:r>
      <w:r w:rsidR="003F0145" w:rsidRPr="003F0145">
        <w:rPr>
          <w:rFonts w:ascii="Arial" w:hAnsi="Arial" w:cs="Arial"/>
          <w:sz w:val="20"/>
          <w:szCs w:val="20"/>
        </w:rPr>
        <w:t xml:space="preserve"> Company </w:t>
      </w:r>
      <w:r>
        <w:rPr>
          <w:rFonts w:ascii="Arial" w:hAnsi="Arial" w:cs="Arial"/>
          <w:sz w:val="20"/>
          <w:szCs w:val="20"/>
        </w:rPr>
        <w:t xml:space="preserve">has </w:t>
      </w:r>
      <w:proofErr w:type="spellStart"/>
      <w:r>
        <w:rPr>
          <w:rFonts w:ascii="Arial" w:hAnsi="Arial" w:cs="Arial"/>
          <w:sz w:val="20"/>
          <w:szCs w:val="20"/>
        </w:rPr>
        <w:t>regularised</w:t>
      </w:r>
      <w:proofErr w:type="spellEnd"/>
      <w:r>
        <w:rPr>
          <w:rFonts w:ascii="Arial" w:hAnsi="Arial" w:cs="Arial"/>
          <w:sz w:val="20"/>
          <w:szCs w:val="20"/>
        </w:rPr>
        <w:t xml:space="preserve"> its financial condition and no longer triggers any of the criteria under Paragraph 8.04(8) and Practice Note 17 (“PN17”) of</w:t>
      </w:r>
      <w:r w:rsidR="003F0145" w:rsidRPr="003F0145">
        <w:rPr>
          <w:rFonts w:ascii="Arial" w:hAnsi="Arial" w:cs="Arial"/>
          <w:sz w:val="20"/>
          <w:szCs w:val="20"/>
        </w:rPr>
        <w:t xml:space="preserve"> the</w:t>
      </w:r>
      <w:r>
        <w:rPr>
          <w:rFonts w:ascii="Arial" w:hAnsi="Arial" w:cs="Arial"/>
          <w:sz w:val="20"/>
          <w:szCs w:val="20"/>
        </w:rPr>
        <w:t xml:space="preserve"> Main Market Listing Requirements of</w:t>
      </w:r>
      <w:r w:rsidR="003F0145" w:rsidRPr="003F0145">
        <w:rPr>
          <w:rFonts w:ascii="Arial" w:hAnsi="Arial" w:cs="Arial"/>
          <w:sz w:val="20"/>
          <w:szCs w:val="20"/>
        </w:rPr>
        <w:t xml:space="preserve"> Bursa Malaysia Securities </w:t>
      </w:r>
      <w:proofErr w:type="spellStart"/>
      <w:r w:rsidR="003F0145" w:rsidRPr="003F0145">
        <w:rPr>
          <w:rFonts w:ascii="Arial" w:hAnsi="Arial" w:cs="Arial"/>
          <w:sz w:val="20"/>
          <w:szCs w:val="20"/>
        </w:rPr>
        <w:t>Berhad</w:t>
      </w:r>
      <w:proofErr w:type="spellEnd"/>
      <w:r>
        <w:rPr>
          <w:rFonts w:ascii="Arial" w:hAnsi="Arial" w:cs="Arial"/>
          <w:sz w:val="20"/>
          <w:szCs w:val="20"/>
        </w:rPr>
        <w:t>.</w:t>
      </w:r>
      <w:r w:rsidR="003F0145" w:rsidRPr="003F0145">
        <w:rPr>
          <w:rFonts w:ascii="Arial" w:hAnsi="Arial" w:cs="Arial"/>
          <w:sz w:val="20"/>
          <w:szCs w:val="20"/>
        </w:rPr>
        <w:t xml:space="preserve"> </w:t>
      </w:r>
      <w:r>
        <w:rPr>
          <w:rFonts w:ascii="Arial" w:hAnsi="Arial" w:cs="Arial"/>
          <w:sz w:val="20"/>
          <w:szCs w:val="20"/>
        </w:rPr>
        <w:t xml:space="preserve">The Company has been </w:t>
      </w:r>
      <w:r w:rsidR="003F0145" w:rsidRPr="003F0145">
        <w:rPr>
          <w:rFonts w:ascii="Arial" w:hAnsi="Arial" w:cs="Arial"/>
          <w:sz w:val="20"/>
          <w:szCs w:val="20"/>
        </w:rPr>
        <w:t>uplift</w:t>
      </w:r>
      <w:r>
        <w:rPr>
          <w:rFonts w:ascii="Arial" w:hAnsi="Arial" w:cs="Arial"/>
          <w:sz w:val="20"/>
          <w:szCs w:val="20"/>
        </w:rPr>
        <w:t>ed from being classified as a P</w:t>
      </w:r>
      <w:r w:rsidR="003F0145" w:rsidRPr="003F0145">
        <w:rPr>
          <w:rFonts w:ascii="Arial" w:hAnsi="Arial" w:cs="Arial"/>
          <w:sz w:val="20"/>
          <w:szCs w:val="20"/>
        </w:rPr>
        <w:t xml:space="preserve">N17 </w:t>
      </w:r>
      <w:r>
        <w:rPr>
          <w:rFonts w:ascii="Arial" w:hAnsi="Arial" w:cs="Arial"/>
          <w:sz w:val="20"/>
          <w:szCs w:val="20"/>
        </w:rPr>
        <w:t>company effective 4 November 2011.</w:t>
      </w:r>
    </w:p>
    <w:p w:rsidR="00FD38E2" w:rsidRPr="003F0145" w:rsidRDefault="00FD38E2" w:rsidP="003F0145">
      <w:pPr>
        <w:rPr>
          <w:rFonts w:ascii="Arial" w:hAnsi="Arial" w:cs="Arial"/>
          <w:sz w:val="20"/>
          <w:szCs w:val="20"/>
        </w:rPr>
      </w:pP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24</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OFF-BALANCE SHEET FINANCIAL INSTRUMENTS</w:t>
      </w:r>
    </w:p>
    <w:p w:rsidR="00304520" w:rsidRPr="00AA2D7D" w:rsidRDefault="00304520" w:rsidP="00304520">
      <w:pPr>
        <w:pStyle w:val="Text"/>
        <w:rPr>
          <w:rFonts w:ascii="Arial" w:eastAsia="Arial Unicode MS" w:hAnsi="Arial" w:cs="Arial"/>
          <w:sz w:val="20"/>
          <w:szCs w:val="20"/>
        </w:rPr>
      </w:pPr>
      <w:r w:rsidRPr="00AA2D7D">
        <w:rPr>
          <w:rFonts w:ascii="Arial" w:eastAsia="Arial Unicode MS" w:hAnsi="Arial" w:cs="Arial"/>
          <w:sz w:val="20"/>
          <w:szCs w:val="20"/>
        </w:rPr>
        <w:t>There are no off-balance sheet financial instruments in issue.</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25</w:t>
      </w:r>
      <w:r w:rsidR="00304520" w:rsidRPr="00AA2D7D">
        <w:rPr>
          <w:rFonts w:ascii="Arial" w:eastAsia="Arial Unicode MS" w:hAnsi="Arial" w:cs="Arial"/>
          <w:sz w:val="20"/>
          <w:szCs w:val="20"/>
        </w:rPr>
        <w:t>.</w:t>
      </w:r>
      <w:r>
        <w:rPr>
          <w:rFonts w:ascii="Arial" w:eastAsia="Arial Unicode MS" w:hAnsi="Arial" w:cs="Arial"/>
          <w:sz w:val="20"/>
          <w:szCs w:val="20"/>
        </w:rPr>
        <w:t xml:space="preserve">  </w:t>
      </w:r>
      <w:r w:rsidR="00304520" w:rsidRPr="00AA2D7D">
        <w:rPr>
          <w:rFonts w:ascii="Arial" w:eastAsia="Arial Unicode MS" w:hAnsi="Arial" w:cs="Arial"/>
          <w:sz w:val="20"/>
          <w:szCs w:val="20"/>
        </w:rPr>
        <w:t>CHANGES IN MATERIAL LITIGATION</w:t>
      </w:r>
      <w:r w:rsidR="00304520" w:rsidRPr="00AA2D7D">
        <w:rPr>
          <w:rFonts w:ascii="Arial" w:eastAsia="Arial Unicode MS" w:hAnsi="Arial" w:cs="Arial"/>
          <w:sz w:val="20"/>
          <w:szCs w:val="20"/>
        </w:rPr>
        <w:tab/>
      </w:r>
    </w:p>
    <w:p w:rsidR="00304520" w:rsidRPr="00AA2D7D" w:rsidRDefault="00304520" w:rsidP="00304520">
      <w:pPr>
        <w:pStyle w:val="Text"/>
        <w:rPr>
          <w:rFonts w:ascii="Arial" w:eastAsia="Arial Unicode MS" w:hAnsi="Arial" w:cs="Arial"/>
          <w:sz w:val="20"/>
          <w:szCs w:val="20"/>
        </w:rPr>
      </w:pPr>
      <w:r>
        <w:rPr>
          <w:rFonts w:ascii="Arial" w:eastAsia="Arial Unicode MS" w:hAnsi="Arial" w:cs="Arial"/>
          <w:sz w:val="20"/>
          <w:szCs w:val="20"/>
        </w:rPr>
        <w:t>There were no changes in</w:t>
      </w:r>
      <w:r w:rsidRPr="00AA2D7D">
        <w:rPr>
          <w:rFonts w:ascii="Arial" w:eastAsia="Arial Unicode MS" w:hAnsi="Arial" w:cs="Arial"/>
          <w:sz w:val="20"/>
          <w:szCs w:val="20"/>
        </w:rPr>
        <w:t xml:space="preserve"> material litigation </w:t>
      </w:r>
      <w:r>
        <w:rPr>
          <w:rFonts w:ascii="Arial" w:eastAsia="Arial Unicode MS" w:hAnsi="Arial" w:cs="Arial"/>
          <w:sz w:val="20"/>
          <w:szCs w:val="20"/>
        </w:rPr>
        <w:t xml:space="preserve">involving the remaining companies within </w:t>
      </w:r>
      <w:r w:rsidRPr="00AA2D7D">
        <w:rPr>
          <w:rFonts w:ascii="Arial" w:eastAsia="Arial Unicode MS" w:hAnsi="Arial" w:cs="Arial"/>
          <w:sz w:val="20"/>
          <w:szCs w:val="20"/>
        </w:rPr>
        <w:t>the Group</w:t>
      </w:r>
      <w:r>
        <w:rPr>
          <w:rFonts w:ascii="Arial" w:eastAsia="Arial Unicode MS" w:hAnsi="Arial" w:cs="Arial"/>
          <w:sz w:val="20"/>
          <w:szCs w:val="20"/>
        </w:rPr>
        <w:t xml:space="preserve"> during the quarter under review.</w:t>
      </w:r>
      <w:r w:rsidRPr="00AA2D7D">
        <w:rPr>
          <w:rFonts w:ascii="Arial" w:eastAsia="Arial Unicode MS" w:hAnsi="Arial" w:cs="Arial"/>
          <w:sz w:val="20"/>
          <w:szCs w:val="20"/>
        </w:rPr>
        <w:t xml:space="preserve"> </w:t>
      </w:r>
    </w:p>
    <w:p w:rsidR="00304520" w:rsidRPr="00AA2D7D" w:rsidRDefault="00352EEF" w:rsidP="00304520">
      <w:pPr>
        <w:pStyle w:val="Heading"/>
        <w:rPr>
          <w:rFonts w:ascii="Arial" w:eastAsia="Arial Unicode MS" w:hAnsi="Arial" w:cs="Arial"/>
          <w:sz w:val="20"/>
          <w:szCs w:val="20"/>
        </w:rPr>
      </w:pPr>
      <w:r>
        <w:rPr>
          <w:rFonts w:ascii="Arial" w:eastAsia="Arial Unicode MS" w:hAnsi="Arial" w:cs="Arial"/>
          <w:sz w:val="20"/>
          <w:szCs w:val="20"/>
        </w:rPr>
        <w:t>B</w:t>
      </w:r>
      <w:r w:rsidR="00062CF5">
        <w:rPr>
          <w:rFonts w:ascii="Arial" w:eastAsia="Arial Unicode MS" w:hAnsi="Arial" w:cs="Arial"/>
          <w:sz w:val="20"/>
          <w:szCs w:val="20"/>
        </w:rPr>
        <w:t>26</w:t>
      </w:r>
      <w:r>
        <w:rPr>
          <w:rFonts w:ascii="Arial" w:eastAsia="Arial Unicode MS" w:hAnsi="Arial" w:cs="Arial"/>
          <w:sz w:val="20"/>
          <w:szCs w:val="20"/>
        </w:rPr>
        <w:t xml:space="preserve">.  </w:t>
      </w:r>
      <w:r w:rsidR="00304520" w:rsidRPr="00AA2D7D">
        <w:rPr>
          <w:rFonts w:ascii="Arial" w:eastAsia="Arial Unicode MS" w:hAnsi="Arial" w:cs="Arial"/>
          <w:sz w:val="20"/>
          <w:szCs w:val="20"/>
        </w:rPr>
        <w:t>DIVIDEND</w:t>
      </w:r>
    </w:p>
    <w:p w:rsidR="00304520" w:rsidRDefault="00304520" w:rsidP="00304520">
      <w:pPr>
        <w:rPr>
          <w:rFonts w:ascii="Arial" w:eastAsia="Arial Unicode MS" w:hAnsi="Arial" w:cs="Arial"/>
          <w:sz w:val="20"/>
          <w:szCs w:val="20"/>
        </w:rPr>
      </w:pPr>
      <w:r w:rsidRPr="00AA2D7D">
        <w:rPr>
          <w:rFonts w:ascii="Arial" w:eastAsia="Arial Unicode MS" w:hAnsi="Arial" w:cs="Arial"/>
          <w:sz w:val="20"/>
          <w:szCs w:val="20"/>
        </w:rPr>
        <w:t>No interim or final dividend has been declared or recommended.</w:t>
      </w:r>
    </w:p>
    <w:p w:rsidR="0098509D" w:rsidRPr="00AA2D7D" w:rsidRDefault="0098509D" w:rsidP="00304520">
      <w:pPr>
        <w:rPr>
          <w:rFonts w:ascii="Arial" w:eastAsia="Arial Unicode MS" w:hAnsi="Arial" w:cs="Arial"/>
          <w:sz w:val="20"/>
          <w:szCs w:val="20"/>
        </w:rPr>
      </w:pPr>
    </w:p>
    <w:p w:rsidR="00BA32E0" w:rsidRPr="00AA2D7D" w:rsidRDefault="00352EEF" w:rsidP="00BA32E0">
      <w:pPr>
        <w:pStyle w:val="Heading"/>
        <w:rPr>
          <w:rFonts w:ascii="Arial" w:eastAsia="Arial Unicode MS" w:hAnsi="Arial" w:cs="Arial"/>
          <w:sz w:val="20"/>
          <w:szCs w:val="20"/>
        </w:rPr>
      </w:pPr>
      <w:r>
        <w:rPr>
          <w:rFonts w:ascii="Arial" w:eastAsia="Arial Unicode MS" w:hAnsi="Arial" w:cs="Arial"/>
          <w:sz w:val="20"/>
          <w:szCs w:val="20"/>
        </w:rPr>
        <w:lastRenderedPageBreak/>
        <w:t>B27</w:t>
      </w:r>
      <w:r w:rsidR="00BA32E0" w:rsidRPr="00AA2D7D">
        <w:rPr>
          <w:rFonts w:ascii="Arial" w:eastAsia="Arial Unicode MS" w:hAnsi="Arial" w:cs="Arial"/>
          <w:sz w:val="20"/>
          <w:szCs w:val="20"/>
        </w:rPr>
        <w:t>.</w:t>
      </w:r>
      <w:r>
        <w:rPr>
          <w:rFonts w:ascii="Arial" w:eastAsia="Arial Unicode MS" w:hAnsi="Arial" w:cs="Arial"/>
          <w:sz w:val="20"/>
          <w:szCs w:val="20"/>
        </w:rPr>
        <w:t xml:space="preserve"> </w:t>
      </w:r>
      <w:r w:rsidR="00BA32E0">
        <w:rPr>
          <w:rFonts w:ascii="Arial" w:eastAsia="Arial Unicode MS" w:hAnsi="Arial" w:cs="Arial"/>
          <w:sz w:val="20"/>
          <w:szCs w:val="20"/>
        </w:rPr>
        <w:t>REALISED AND UNREALISED PROFIT/LOSSES DISCLOSURE</w:t>
      </w:r>
    </w:p>
    <w:p w:rsidR="00304520" w:rsidRPr="00AA2D7D" w:rsidRDefault="00BA32E0" w:rsidP="00BA32E0">
      <w:pPr>
        <w:pStyle w:val="Heading"/>
        <w:rPr>
          <w:rFonts w:ascii="Arial" w:eastAsia="Arial Unicode MS" w:hAnsi="Arial" w:cs="Arial"/>
          <w:sz w:val="20"/>
          <w:szCs w:val="20"/>
        </w:rPr>
      </w:pPr>
      <w:r>
        <w:object w:dxaOrig="9938" w:dyaOrig="3799">
          <v:shape id="_x0000_i1032" type="#_x0000_t75" style="width:488.25pt;height:186.75pt" o:ole="">
            <v:imagedata r:id="rId21" o:title=""/>
          </v:shape>
          <o:OLEObject Type="Embed" ProgID="Excel.Sheet.8" ShapeID="_x0000_i1032" DrawAspect="Content" ObjectID="_1391958088" r:id="rId22"/>
        </w:object>
      </w:r>
      <w:r w:rsidR="00352EEF">
        <w:rPr>
          <w:rFonts w:ascii="Arial" w:eastAsia="Arial Unicode MS" w:hAnsi="Arial" w:cs="Arial"/>
          <w:sz w:val="20"/>
          <w:szCs w:val="20"/>
        </w:rPr>
        <w:t>B</w:t>
      </w:r>
      <w:r w:rsidR="00304520" w:rsidRPr="00AA2D7D">
        <w:rPr>
          <w:rFonts w:ascii="Arial" w:eastAsia="Arial Unicode MS" w:hAnsi="Arial" w:cs="Arial"/>
          <w:sz w:val="20"/>
          <w:szCs w:val="20"/>
        </w:rPr>
        <w:t>2</w:t>
      </w:r>
      <w:r w:rsidR="00352EEF">
        <w:rPr>
          <w:rFonts w:ascii="Arial" w:eastAsia="Arial Unicode MS" w:hAnsi="Arial" w:cs="Arial"/>
          <w:sz w:val="20"/>
          <w:szCs w:val="20"/>
        </w:rPr>
        <w:t>8</w:t>
      </w:r>
      <w:r w:rsidR="00992508">
        <w:rPr>
          <w:rFonts w:ascii="Arial" w:eastAsia="Arial Unicode MS" w:hAnsi="Arial" w:cs="Arial"/>
          <w:sz w:val="20"/>
          <w:szCs w:val="20"/>
        </w:rPr>
        <w:t xml:space="preserve">.  </w:t>
      </w:r>
      <w:r w:rsidR="00304520" w:rsidRPr="00AA2D7D">
        <w:rPr>
          <w:rFonts w:ascii="Arial" w:eastAsia="Arial Unicode MS" w:hAnsi="Arial" w:cs="Arial"/>
          <w:sz w:val="20"/>
          <w:szCs w:val="20"/>
        </w:rPr>
        <w:t>AUTHORISATION</w:t>
      </w:r>
    </w:p>
    <w:p w:rsidR="00304520" w:rsidRPr="00AA2D7D" w:rsidRDefault="00304520" w:rsidP="001F1545">
      <w:pPr>
        <w:rPr>
          <w:rFonts w:ascii="Arial" w:eastAsia="Arial Unicode MS" w:hAnsi="Arial" w:cs="Arial"/>
          <w:sz w:val="20"/>
          <w:szCs w:val="20"/>
        </w:rPr>
      </w:pPr>
      <w:r w:rsidRPr="00AA2D7D">
        <w:rPr>
          <w:rFonts w:ascii="Arial" w:eastAsia="Arial Unicode MS" w:hAnsi="Arial" w:cs="Arial"/>
          <w:sz w:val="20"/>
          <w:szCs w:val="20"/>
        </w:rPr>
        <w:t>This interim financial report for th</w:t>
      </w:r>
      <w:r>
        <w:rPr>
          <w:rFonts w:ascii="Arial" w:eastAsia="Arial Unicode MS" w:hAnsi="Arial" w:cs="Arial"/>
          <w:sz w:val="20"/>
          <w:szCs w:val="20"/>
        </w:rPr>
        <w:t xml:space="preserve">e financial period ended </w:t>
      </w:r>
      <w:r w:rsidR="00426C3F">
        <w:rPr>
          <w:rFonts w:ascii="Arial" w:eastAsia="Arial Unicode MS" w:hAnsi="Arial" w:cs="Arial"/>
          <w:sz w:val="20"/>
          <w:szCs w:val="20"/>
        </w:rPr>
        <w:t>3</w:t>
      </w:r>
      <w:r w:rsidR="00220FA4">
        <w:rPr>
          <w:rFonts w:ascii="Arial" w:eastAsia="Arial Unicode MS" w:hAnsi="Arial" w:cs="Arial"/>
          <w:sz w:val="20"/>
          <w:szCs w:val="20"/>
        </w:rPr>
        <w:t>1</w:t>
      </w:r>
      <w:r w:rsidR="00426C3F">
        <w:rPr>
          <w:rFonts w:ascii="Arial" w:eastAsia="Arial Unicode MS" w:hAnsi="Arial" w:cs="Arial"/>
          <w:sz w:val="20"/>
          <w:szCs w:val="20"/>
        </w:rPr>
        <w:t xml:space="preserve"> </w:t>
      </w:r>
      <w:r w:rsidR="00220FA4">
        <w:rPr>
          <w:rFonts w:ascii="Arial" w:eastAsia="Arial Unicode MS" w:hAnsi="Arial" w:cs="Arial"/>
          <w:sz w:val="20"/>
          <w:szCs w:val="20"/>
        </w:rPr>
        <w:t>Dec</w:t>
      </w:r>
      <w:r w:rsidR="00426C3F">
        <w:rPr>
          <w:rFonts w:ascii="Arial" w:eastAsia="Arial Unicode MS" w:hAnsi="Arial" w:cs="Arial"/>
          <w:sz w:val="20"/>
          <w:szCs w:val="20"/>
        </w:rPr>
        <w:t>ember</w:t>
      </w:r>
      <w:r w:rsidR="009B21F0">
        <w:rPr>
          <w:rFonts w:ascii="Arial" w:eastAsia="Arial Unicode MS" w:hAnsi="Arial" w:cs="Arial"/>
          <w:sz w:val="20"/>
          <w:szCs w:val="20"/>
        </w:rPr>
        <w:t xml:space="preserve"> 201</w:t>
      </w:r>
      <w:r w:rsidR="00220FA4">
        <w:rPr>
          <w:rFonts w:ascii="Arial" w:eastAsia="Arial Unicode MS" w:hAnsi="Arial" w:cs="Arial"/>
          <w:sz w:val="20"/>
          <w:szCs w:val="20"/>
        </w:rPr>
        <w:t>1</w:t>
      </w:r>
      <w:r w:rsidRPr="00AA2D7D">
        <w:rPr>
          <w:rFonts w:ascii="Arial" w:eastAsia="Arial Unicode MS" w:hAnsi="Arial" w:cs="Arial"/>
          <w:sz w:val="20"/>
          <w:szCs w:val="20"/>
        </w:rPr>
        <w:t xml:space="preserve"> has been seen and approved by the Board of Directors of A</w:t>
      </w:r>
      <w:r>
        <w:rPr>
          <w:rFonts w:ascii="Arial" w:eastAsia="Arial Unicode MS" w:hAnsi="Arial" w:cs="Arial"/>
          <w:sz w:val="20"/>
          <w:szCs w:val="20"/>
        </w:rPr>
        <w:t xml:space="preserve">RK Resources </w:t>
      </w:r>
      <w:proofErr w:type="spellStart"/>
      <w:r>
        <w:rPr>
          <w:rFonts w:ascii="Arial" w:eastAsia="Arial Unicode MS" w:hAnsi="Arial" w:cs="Arial"/>
          <w:sz w:val="20"/>
          <w:szCs w:val="20"/>
        </w:rPr>
        <w:t>Berhad</w:t>
      </w:r>
      <w:proofErr w:type="spellEnd"/>
      <w:r>
        <w:rPr>
          <w:rFonts w:ascii="Arial" w:eastAsia="Arial Unicode MS" w:hAnsi="Arial" w:cs="Arial"/>
          <w:sz w:val="20"/>
          <w:szCs w:val="20"/>
        </w:rPr>
        <w:t xml:space="preserve"> </w:t>
      </w:r>
      <w:r w:rsidR="00F931A9">
        <w:rPr>
          <w:rFonts w:ascii="Arial" w:eastAsia="Arial Unicode MS" w:hAnsi="Arial" w:cs="Arial"/>
          <w:sz w:val="20"/>
          <w:szCs w:val="20"/>
        </w:rPr>
        <w:t xml:space="preserve">on </w:t>
      </w:r>
      <w:r w:rsidR="007A60C4">
        <w:rPr>
          <w:rFonts w:ascii="Arial" w:eastAsia="Arial Unicode MS" w:hAnsi="Arial" w:cs="Arial"/>
          <w:sz w:val="20"/>
          <w:szCs w:val="20"/>
        </w:rPr>
        <w:t>27</w:t>
      </w:r>
      <w:r w:rsidR="00426C3F" w:rsidRPr="00BE5EFE">
        <w:rPr>
          <w:rFonts w:ascii="Arial" w:eastAsia="Arial Unicode MS" w:hAnsi="Arial" w:cs="Arial"/>
          <w:sz w:val="20"/>
          <w:szCs w:val="20"/>
        </w:rPr>
        <w:t xml:space="preserve"> </w:t>
      </w:r>
      <w:r w:rsidR="00FD38E2">
        <w:rPr>
          <w:rFonts w:ascii="Arial" w:eastAsia="Arial Unicode MS" w:hAnsi="Arial" w:cs="Arial"/>
          <w:sz w:val="20"/>
          <w:szCs w:val="20"/>
        </w:rPr>
        <w:t xml:space="preserve">February </w:t>
      </w:r>
      <w:r w:rsidRPr="00BE5EFE">
        <w:rPr>
          <w:rFonts w:ascii="Arial" w:eastAsia="Arial Unicode MS" w:hAnsi="Arial" w:cs="Arial"/>
          <w:sz w:val="20"/>
          <w:szCs w:val="20"/>
        </w:rPr>
        <w:t>201</w:t>
      </w:r>
      <w:r w:rsidR="00FD38E2">
        <w:rPr>
          <w:rFonts w:ascii="Arial" w:eastAsia="Arial Unicode MS" w:hAnsi="Arial" w:cs="Arial"/>
          <w:sz w:val="20"/>
          <w:szCs w:val="20"/>
        </w:rPr>
        <w:t>2</w:t>
      </w:r>
      <w:r w:rsidRPr="00AA2D7D">
        <w:rPr>
          <w:rFonts w:ascii="Arial" w:eastAsia="Arial Unicode MS" w:hAnsi="Arial" w:cs="Arial"/>
          <w:sz w:val="20"/>
          <w:szCs w:val="20"/>
        </w:rPr>
        <w:t xml:space="preserve"> for release to Bursa Securities.</w:t>
      </w:r>
    </w:p>
    <w:p w:rsidR="00304520" w:rsidRPr="00AA2D7D" w:rsidRDefault="00304520" w:rsidP="00304520">
      <w:pPr>
        <w:rPr>
          <w:rFonts w:ascii="Arial" w:eastAsia="Arial Unicode MS" w:hAnsi="Arial" w:cs="Arial"/>
          <w:sz w:val="20"/>
          <w:szCs w:val="20"/>
        </w:rPr>
      </w:pPr>
    </w:p>
    <w:p w:rsidR="00304520" w:rsidRPr="00AA2D7D" w:rsidRDefault="00304520" w:rsidP="00304520">
      <w:pPr>
        <w:pStyle w:val="Text"/>
        <w:rPr>
          <w:rFonts w:ascii="Arial" w:eastAsia="Arial Unicode MS" w:hAnsi="Arial" w:cs="Arial"/>
          <w:sz w:val="20"/>
          <w:szCs w:val="20"/>
        </w:rPr>
      </w:pPr>
    </w:p>
    <w:p w:rsidR="00304520" w:rsidRPr="00AA2D7D" w:rsidRDefault="00304520" w:rsidP="00304520">
      <w:pPr>
        <w:pStyle w:val="Text"/>
        <w:rPr>
          <w:rFonts w:ascii="Arial" w:hAnsi="Arial" w:cs="Arial"/>
          <w:sz w:val="20"/>
          <w:szCs w:val="20"/>
        </w:rPr>
      </w:pPr>
    </w:p>
    <w:sectPr w:rsidR="00304520" w:rsidRPr="00AA2D7D" w:rsidSect="00B75A12">
      <w:headerReference w:type="even" r:id="rId23"/>
      <w:headerReference w:type="default" r:id="rId24"/>
      <w:footerReference w:type="default" r:id="rId25"/>
      <w:headerReference w:type="first" r:id="rId26"/>
      <w:footerReference w:type="first" r:id="rId27"/>
      <w:pgSz w:w="11907" w:h="16840" w:code="9"/>
      <w:pgMar w:top="1977" w:right="1134" w:bottom="1418" w:left="113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6D" w:rsidRDefault="004C646D" w:rsidP="000C6848">
      <w:r>
        <w:separator/>
      </w:r>
    </w:p>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p w:rsidR="004C646D" w:rsidRDefault="004C646D" w:rsidP="00C92260"/>
    <w:p w:rsidR="004C646D" w:rsidRDefault="004C646D" w:rsidP="00C92260"/>
    <w:p w:rsidR="004C646D" w:rsidRDefault="004C646D"/>
    <w:p w:rsidR="004C646D" w:rsidRDefault="004C646D" w:rsidP="003F0145"/>
  </w:endnote>
  <w:endnote w:type="continuationSeparator" w:id="0">
    <w:p w:rsidR="004C646D" w:rsidRDefault="004C646D" w:rsidP="000C6848">
      <w:r>
        <w:continuationSeparator/>
      </w:r>
    </w:p>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p w:rsidR="004C646D" w:rsidRDefault="004C646D" w:rsidP="00C92260"/>
    <w:p w:rsidR="004C646D" w:rsidRDefault="004C646D" w:rsidP="00C92260"/>
    <w:p w:rsidR="004C646D" w:rsidRDefault="004C646D"/>
    <w:p w:rsidR="004C646D" w:rsidRDefault="004C646D" w:rsidP="003F01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1" w:rsidRDefault="00336E81" w:rsidP="000C6848">
    <w:pPr>
      <w:pStyle w:val="Footer"/>
    </w:pPr>
  </w:p>
  <w:p w:rsidR="00336E81" w:rsidRDefault="00336E81" w:rsidP="000C6848">
    <w:pPr>
      <w:pStyle w:val="Footer"/>
      <w:jc w:val="right"/>
    </w:pPr>
    <w:r>
      <w:t xml:space="preserve">Page </w:t>
    </w:r>
    <w:fldSimple w:instr=" PAGE ">
      <w:r w:rsidR="00B934B9">
        <w:rPr>
          <w:noProof/>
        </w:rPr>
        <w:t>12</w:t>
      </w:r>
    </w:fldSimple>
    <w:r>
      <w:t xml:space="preserve"> of </w:t>
    </w:r>
    <w:fldSimple w:instr=" NUMPAGES ">
      <w:r w:rsidR="00B934B9">
        <w:rPr>
          <w:noProof/>
        </w:rPr>
        <w:t>12</w:t>
      </w:r>
    </w:fldSimple>
  </w:p>
  <w:p w:rsidR="00336E81" w:rsidRDefault="00336E81" w:rsidP="000C6848"/>
  <w:p w:rsidR="00336E81" w:rsidRDefault="00336E81" w:rsidP="000C6848"/>
  <w:p w:rsidR="00336E81" w:rsidRDefault="00336E81" w:rsidP="000C6848"/>
  <w:p w:rsidR="00336E81" w:rsidRDefault="00336E81" w:rsidP="000C6848"/>
  <w:p w:rsidR="00336E81" w:rsidRDefault="00336E81" w:rsidP="00C92260"/>
  <w:p w:rsidR="00336E81" w:rsidRDefault="00336E81" w:rsidP="00C92260"/>
  <w:p w:rsidR="00336E81" w:rsidRDefault="00336E81" w:rsidP="00C92260"/>
  <w:p w:rsidR="00336E81" w:rsidRDefault="00336E81" w:rsidP="003F01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1" w:rsidRPr="005A01D1" w:rsidRDefault="00336E81" w:rsidP="000C6848">
    <w:pPr>
      <w:pStyle w:val="Footer"/>
      <w:jc w:val="right"/>
      <w:rPr>
        <w:i/>
        <w:sz w:val="20"/>
      </w:rPr>
    </w:pPr>
    <w:r>
      <w:t xml:space="preserve">Page </w:t>
    </w:r>
    <w:fldSimple w:instr=" PAGE ">
      <w:r w:rsidR="00B934B9">
        <w:rPr>
          <w:noProof/>
        </w:rPr>
        <w:t>1</w:t>
      </w:r>
    </w:fldSimple>
    <w:r>
      <w:t xml:space="preserve"> of </w:t>
    </w:r>
    <w:fldSimple w:instr=" NUMPAGES ">
      <w:r w:rsidR="00B934B9">
        <w:rPr>
          <w:noProof/>
        </w:rPr>
        <w:t>12</w:t>
      </w:r>
    </w:fldSimple>
  </w:p>
  <w:p w:rsidR="00336E81" w:rsidRDefault="00336E81" w:rsidP="000C6848"/>
  <w:p w:rsidR="00336E81" w:rsidRDefault="00336E81" w:rsidP="000C6848"/>
  <w:p w:rsidR="00336E81" w:rsidRDefault="00336E81" w:rsidP="000C6848"/>
  <w:p w:rsidR="00336E81" w:rsidRDefault="00336E81" w:rsidP="000C6848"/>
  <w:p w:rsidR="00336E81" w:rsidRDefault="00336E81" w:rsidP="00C92260"/>
  <w:p w:rsidR="00336E81" w:rsidRDefault="00336E81" w:rsidP="00C92260"/>
  <w:p w:rsidR="00336E81" w:rsidRDefault="00336E81" w:rsidP="00C92260"/>
  <w:p w:rsidR="00336E81" w:rsidRDefault="00336E81" w:rsidP="003F01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6D" w:rsidRDefault="004C646D" w:rsidP="000C6848">
      <w:r>
        <w:separator/>
      </w:r>
    </w:p>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p w:rsidR="004C646D" w:rsidRDefault="004C646D" w:rsidP="00C92260"/>
    <w:p w:rsidR="004C646D" w:rsidRDefault="004C646D" w:rsidP="00C92260"/>
    <w:p w:rsidR="004C646D" w:rsidRDefault="004C646D"/>
    <w:p w:rsidR="004C646D" w:rsidRDefault="004C646D" w:rsidP="003F0145"/>
  </w:footnote>
  <w:footnote w:type="continuationSeparator" w:id="0">
    <w:p w:rsidR="004C646D" w:rsidRDefault="004C646D" w:rsidP="000C6848">
      <w:r>
        <w:continuationSeparator/>
      </w:r>
    </w:p>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rsidP="000C6848"/>
    <w:p w:rsidR="004C646D" w:rsidRDefault="004C646D"/>
    <w:p w:rsidR="004C646D" w:rsidRDefault="004C646D" w:rsidP="00C92260"/>
    <w:p w:rsidR="004C646D" w:rsidRDefault="004C646D" w:rsidP="00C92260"/>
    <w:p w:rsidR="004C646D" w:rsidRDefault="004C646D"/>
    <w:p w:rsidR="004C646D" w:rsidRDefault="004C646D" w:rsidP="003F01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0C6848"/>
  <w:p w:rsidR="00336E81" w:rsidRDefault="00336E81" w:rsidP="00C92260"/>
  <w:p w:rsidR="00336E81" w:rsidRDefault="00336E81" w:rsidP="00C92260"/>
  <w:p w:rsidR="00336E81" w:rsidRDefault="00336E81" w:rsidP="00C92260"/>
  <w:p w:rsidR="00336E81" w:rsidRDefault="00336E81" w:rsidP="003F01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1" w:rsidRDefault="00336E81" w:rsidP="000C6848">
    <w:pPr>
      <w:jc w:val="center"/>
    </w:pPr>
    <w:smartTag w:uri="urn:schemas-microsoft-com:office:smarttags" w:element="place">
      <w:smartTag w:uri="urn:schemas-microsoft-com:office:smarttags" w:element="State">
        <w:r>
          <w:t>ARK</w:t>
        </w:r>
      </w:smartTag>
    </w:smartTag>
    <w:r>
      <w:t xml:space="preserve"> RESOURCES BERHAD</w:t>
    </w:r>
  </w:p>
  <w:p w:rsidR="00336E81" w:rsidRDefault="00336E81" w:rsidP="000C6848">
    <w:pPr>
      <w:jc w:val="center"/>
    </w:pPr>
    <w:r>
      <w:t>(393342-X)</w:t>
    </w:r>
  </w:p>
  <w:p w:rsidR="00336E81" w:rsidRDefault="00336E81" w:rsidP="000C6848">
    <w:pPr>
      <w:pStyle w:val="Heading3"/>
      <w:jc w:val="center"/>
    </w:pPr>
  </w:p>
  <w:p w:rsidR="00336E81" w:rsidRDefault="00336E81" w:rsidP="000C6848">
    <w:pPr>
      <w:pStyle w:val="Heading3"/>
      <w:jc w:val="center"/>
    </w:pPr>
    <w:r>
      <w:t>QUARTERLY REPORT</w:t>
    </w:r>
  </w:p>
  <w:p w:rsidR="00336E81" w:rsidRDefault="005913D8" w:rsidP="00335A28">
    <w:pPr>
      <w:pStyle w:val="Header"/>
      <w:jc w:val="center"/>
    </w:pPr>
    <w:r>
      <w:t>FOURTH</w:t>
    </w:r>
    <w:r w:rsidR="00336E81">
      <w:t xml:space="preserve"> QUARTER ENDED 3</w:t>
    </w:r>
    <w:r w:rsidR="00E84EC9">
      <w:t>1</w:t>
    </w:r>
    <w:r w:rsidR="00336E81">
      <w:t xml:space="preserve"> </w:t>
    </w:r>
    <w:r w:rsidR="00E84EC9">
      <w:t>DEC</w:t>
    </w:r>
    <w:r w:rsidR="00E975FA">
      <w:t>EMBER</w:t>
    </w:r>
    <w:r w:rsidR="00336E81">
      <w:t xml:space="preserve"> 2011</w:t>
    </w:r>
  </w:p>
  <w:p w:rsidR="00336E81" w:rsidRDefault="00336E81" w:rsidP="000C6848"/>
  <w:p w:rsidR="00336E81" w:rsidRDefault="00336E81" w:rsidP="00C92260"/>
  <w:p w:rsidR="00336E81" w:rsidRDefault="00336E81" w:rsidP="003F01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1" w:rsidRDefault="00336E81" w:rsidP="000C6848">
    <w:pPr>
      <w:jc w:val="center"/>
    </w:pPr>
    <w:smartTag w:uri="urn:schemas-microsoft-com:office:smarttags" w:element="place">
      <w:smartTag w:uri="urn:schemas-microsoft-com:office:smarttags" w:element="State">
        <w:r>
          <w:t>ARK</w:t>
        </w:r>
      </w:smartTag>
    </w:smartTag>
    <w:r>
      <w:t xml:space="preserve"> RESOURCES BERHAD</w:t>
    </w:r>
  </w:p>
  <w:p w:rsidR="00336E81" w:rsidRDefault="00336E81" w:rsidP="000C6848">
    <w:pPr>
      <w:jc w:val="center"/>
    </w:pPr>
    <w:r>
      <w:t>(393342-X)</w:t>
    </w:r>
  </w:p>
  <w:p w:rsidR="00336E81" w:rsidRDefault="00336E81" w:rsidP="000C6848">
    <w:pPr>
      <w:pStyle w:val="Heading3"/>
      <w:jc w:val="center"/>
    </w:pPr>
  </w:p>
  <w:p w:rsidR="00336E81" w:rsidRDefault="00336E81" w:rsidP="000C6848">
    <w:pPr>
      <w:pStyle w:val="Heading3"/>
      <w:jc w:val="center"/>
    </w:pPr>
    <w:r>
      <w:t>QUARTERLY REPORT</w:t>
    </w:r>
  </w:p>
  <w:p w:rsidR="00336E81" w:rsidRDefault="005913D8" w:rsidP="00E975FA">
    <w:pPr>
      <w:pStyle w:val="Header"/>
      <w:jc w:val="center"/>
    </w:pPr>
    <w:r>
      <w:t>FOURTH</w:t>
    </w:r>
    <w:r w:rsidR="00336E81">
      <w:t xml:space="preserve"> QUARTER ENDED 3</w:t>
    </w:r>
    <w:r w:rsidR="00E84EC9">
      <w:t>1</w:t>
    </w:r>
    <w:r w:rsidR="00336E81">
      <w:t xml:space="preserve"> </w:t>
    </w:r>
    <w:r w:rsidR="00E84EC9">
      <w:t>DEC</w:t>
    </w:r>
    <w:r w:rsidR="00E975FA">
      <w:t xml:space="preserve">EMBER </w:t>
    </w:r>
    <w:r w:rsidR="00336E81">
      <w:t>2011</w:t>
    </w:r>
  </w:p>
  <w:p w:rsidR="00336E81" w:rsidRDefault="00336E81" w:rsidP="000C6848">
    <w:pPr>
      <w:pStyle w:val="Header"/>
    </w:pPr>
  </w:p>
  <w:p w:rsidR="00336E81" w:rsidRDefault="00336E81" w:rsidP="000C6848">
    <w:pPr>
      <w:pStyle w:val="Header"/>
    </w:pPr>
  </w:p>
  <w:p w:rsidR="00336E81" w:rsidRDefault="00336E81" w:rsidP="000C6848"/>
  <w:p w:rsidR="00336E81" w:rsidRDefault="00336E81" w:rsidP="00C92260"/>
  <w:p w:rsidR="00336E81" w:rsidRDefault="00336E81" w:rsidP="00C92260"/>
  <w:p w:rsidR="00336E81" w:rsidRDefault="00336E81" w:rsidP="00C92260"/>
  <w:p w:rsidR="00336E81" w:rsidRDefault="00336E81" w:rsidP="003F01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AA5"/>
    <w:multiLevelType w:val="hybridMultilevel"/>
    <w:tmpl w:val="EFE83ADE"/>
    <w:lvl w:ilvl="0" w:tplc="B53E832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B3FA3"/>
    <w:multiLevelType w:val="hybridMultilevel"/>
    <w:tmpl w:val="D72C4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0004E"/>
    <w:multiLevelType w:val="hybridMultilevel"/>
    <w:tmpl w:val="0C1CE556"/>
    <w:lvl w:ilvl="0" w:tplc="A99C4CC2">
      <w:start w:val="12"/>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3323E2"/>
    <w:multiLevelType w:val="hybridMultilevel"/>
    <w:tmpl w:val="A86EEEF8"/>
    <w:lvl w:ilvl="0" w:tplc="910E4562">
      <w:start w:val="1"/>
      <w:numFmt w:val="decimal"/>
      <w:lvlText w:val="%1."/>
      <w:lvlJc w:val="left"/>
      <w:pPr>
        <w:tabs>
          <w:tab w:val="num" w:pos="567"/>
        </w:tabs>
        <w:ind w:left="567" w:hanging="567"/>
      </w:pPr>
      <w:rPr>
        <w:rFonts w:hint="default"/>
      </w:rPr>
    </w:lvl>
    <w:lvl w:ilvl="1" w:tplc="3DD200A8">
      <w:start w:val="11"/>
      <w:numFmt w:val="decimal"/>
      <w:lvlText w:val=""/>
      <w:lvlJc w:val="left"/>
      <w:pPr>
        <w:tabs>
          <w:tab w:val="num" w:pos="1080"/>
        </w:tabs>
        <w:ind w:left="1080" w:hanging="360"/>
      </w:pPr>
      <w:rPr>
        <w:rFonts w:ascii="Wingdings" w:hAnsi="Wingdings" w:cs="Times New Roman" w:hint="default"/>
      </w:rPr>
    </w:lvl>
    <w:lvl w:ilvl="2" w:tplc="859661E8" w:tentative="1">
      <w:start w:val="1"/>
      <w:numFmt w:val="lowerRoman"/>
      <w:lvlText w:val="%3."/>
      <w:lvlJc w:val="right"/>
      <w:pPr>
        <w:tabs>
          <w:tab w:val="num" w:pos="1800"/>
        </w:tabs>
        <w:ind w:left="1800" w:hanging="180"/>
      </w:pPr>
    </w:lvl>
    <w:lvl w:ilvl="3" w:tplc="88767ED2" w:tentative="1">
      <w:start w:val="1"/>
      <w:numFmt w:val="decimal"/>
      <w:lvlText w:val="%4."/>
      <w:lvlJc w:val="left"/>
      <w:pPr>
        <w:tabs>
          <w:tab w:val="num" w:pos="2520"/>
        </w:tabs>
        <w:ind w:left="2520" w:hanging="360"/>
      </w:pPr>
    </w:lvl>
    <w:lvl w:ilvl="4" w:tplc="C9B020BE" w:tentative="1">
      <w:start w:val="1"/>
      <w:numFmt w:val="lowerLetter"/>
      <w:lvlText w:val="%5."/>
      <w:lvlJc w:val="left"/>
      <w:pPr>
        <w:tabs>
          <w:tab w:val="num" w:pos="3240"/>
        </w:tabs>
        <w:ind w:left="3240" w:hanging="360"/>
      </w:pPr>
    </w:lvl>
    <w:lvl w:ilvl="5" w:tplc="971A2B16" w:tentative="1">
      <w:start w:val="1"/>
      <w:numFmt w:val="lowerRoman"/>
      <w:lvlText w:val="%6."/>
      <w:lvlJc w:val="right"/>
      <w:pPr>
        <w:tabs>
          <w:tab w:val="num" w:pos="3960"/>
        </w:tabs>
        <w:ind w:left="3960" w:hanging="180"/>
      </w:pPr>
    </w:lvl>
    <w:lvl w:ilvl="6" w:tplc="3AE019DE" w:tentative="1">
      <w:start w:val="1"/>
      <w:numFmt w:val="decimal"/>
      <w:lvlText w:val="%7."/>
      <w:lvlJc w:val="left"/>
      <w:pPr>
        <w:tabs>
          <w:tab w:val="num" w:pos="4680"/>
        </w:tabs>
        <w:ind w:left="4680" w:hanging="360"/>
      </w:pPr>
    </w:lvl>
    <w:lvl w:ilvl="7" w:tplc="C00E9544" w:tentative="1">
      <w:start w:val="1"/>
      <w:numFmt w:val="lowerLetter"/>
      <w:lvlText w:val="%8."/>
      <w:lvlJc w:val="left"/>
      <w:pPr>
        <w:tabs>
          <w:tab w:val="num" w:pos="5400"/>
        </w:tabs>
        <w:ind w:left="5400" w:hanging="360"/>
      </w:pPr>
    </w:lvl>
    <w:lvl w:ilvl="8" w:tplc="C2B07A06" w:tentative="1">
      <w:start w:val="1"/>
      <w:numFmt w:val="lowerRoman"/>
      <w:lvlText w:val="%9."/>
      <w:lvlJc w:val="right"/>
      <w:pPr>
        <w:tabs>
          <w:tab w:val="num" w:pos="6120"/>
        </w:tabs>
        <w:ind w:left="6120" w:hanging="180"/>
      </w:pPr>
    </w:lvl>
  </w:abstractNum>
  <w:abstractNum w:abstractNumId="4">
    <w:nsid w:val="23610ADF"/>
    <w:multiLevelType w:val="hybridMultilevel"/>
    <w:tmpl w:val="9A4CD010"/>
    <w:lvl w:ilvl="0" w:tplc="21EE2096">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66D56F8"/>
    <w:multiLevelType w:val="hybridMultilevel"/>
    <w:tmpl w:val="615EB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2F3E5A"/>
    <w:multiLevelType w:val="hybridMultilevel"/>
    <w:tmpl w:val="A2D6986A"/>
    <w:lvl w:ilvl="0" w:tplc="0268AB56">
      <w:start w:val="9"/>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2DBC53DA"/>
    <w:multiLevelType w:val="singleLevel"/>
    <w:tmpl w:val="102A6702"/>
    <w:lvl w:ilvl="0">
      <w:start w:val="11"/>
      <w:numFmt w:val="decimal"/>
      <w:lvlText w:val=""/>
      <w:lvlJc w:val="left"/>
      <w:pPr>
        <w:tabs>
          <w:tab w:val="num" w:pos="360"/>
        </w:tabs>
        <w:ind w:left="360" w:hanging="360"/>
      </w:pPr>
      <w:rPr>
        <w:rFonts w:ascii="Wingdings" w:hAnsi="Wingdings" w:cs="Times New Roman" w:hint="default"/>
      </w:rPr>
    </w:lvl>
  </w:abstractNum>
  <w:abstractNum w:abstractNumId="8">
    <w:nsid w:val="2FFE6195"/>
    <w:multiLevelType w:val="singleLevel"/>
    <w:tmpl w:val="C41E5A8A"/>
    <w:lvl w:ilvl="0">
      <w:start w:val="16"/>
      <w:numFmt w:val="decimal"/>
      <w:lvlText w:val="%1."/>
      <w:lvlJc w:val="left"/>
      <w:pPr>
        <w:tabs>
          <w:tab w:val="num" w:pos="540"/>
        </w:tabs>
        <w:ind w:left="540" w:hanging="540"/>
      </w:pPr>
      <w:rPr>
        <w:rFonts w:hint="default"/>
      </w:rPr>
    </w:lvl>
  </w:abstractNum>
  <w:abstractNum w:abstractNumId="9">
    <w:nsid w:val="30A32A2B"/>
    <w:multiLevelType w:val="hybridMultilevel"/>
    <w:tmpl w:val="925A2C7E"/>
    <w:lvl w:ilvl="0" w:tplc="2382751E">
      <w:start w:val="1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nsid w:val="3A807686"/>
    <w:multiLevelType w:val="singleLevel"/>
    <w:tmpl w:val="651EB918"/>
    <w:lvl w:ilvl="0">
      <w:start w:val="2"/>
      <w:numFmt w:val="decimal"/>
      <w:lvlText w:val="%1."/>
      <w:lvlJc w:val="left"/>
      <w:pPr>
        <w:tabs>
          <w:tab w:val="num" w:pos="540"/>
        </w:tabs>
        <w:ind w:left="540" w:hanging="540"/>
      </w:pPr>
      <w:rPr>
        <w:rFonts w:hint="default"/>
      </w:rPr>
    </w:lvl>
  </w:abstractNum>
  <w:abstractNum w:abstractNumId="11">
    <w:nsid w:val="4497243E"/>
    <w:multiLevelType w:val="multilevel"/>
    <w:tmpl w:val="615EB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7B2D18"/>
    <w:multiLevelType w:val="hybridMultilevel"/>
    <w:tmpl w:val="BF906EA0"/>
    <w:lvl w:ilvl="0" w:tplc="04090017">
      <w:start w:val="3"/>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3">
    <w:nsid w:val="4D2C43E2"/>
    <w:multiLevelType w:val="hybridMultilevel"/>
    <w:tmpl w:val="02B2D250"/>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4">
    <w:nsid w:val="4F34423C"/>
    <w:multiLevelType w:val="hybridMultilevel"/>
    <w:tmpl w:val="683C5B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36E7B1D"/>
    <w:multiLevelType w:val="hybridMultilevel"/>
    <w:tmpl w:val="88FC8C40"/>
    <w:lvl w:ilvl="0" w:tplc="3FC4C492">
      <w:start w:val="1"/>
      <w:numFmt w:val="decimal"/>
      <w:lvlText w:val="%1."/>
      <w:lvlJc w:val="left"/>
      <w:pPr>
        <w:tabs>
          <w:tab w:val="num" w:pos="1447"/>
        </w:tabs>
        <w:ind w:left="1447" w:hanging="885"/>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6">
    <w:nsid w:val="5C79617E"/>
    <w:multiLevelType w:val="multilevel"/>
    <w:tmpl w:val="C42204F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21685B"/>
    <w:multiLevelType w:val="hybridMultilevel"/>
    <w:tmpl w:val="C5D64D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403E93"/>
    <w:multiLevelType w:val="singleLevel"/>
    <w:tmpl w:val="0409000F"/>
    <w:lvl w:ilvl="0">
      <w:start w:val="19"/>
      <w:numFmt w:val="decimal"/>
      <w:lvlText w:val="%1."/>
      <w:lvlJc w:val="left"/>
      <w:pPr>
        <w:tabs>
          <w:tab w:val="num" w:pos="360"/>
        </w:tabs>
        <w:ind w:left="360" w:hanging="360"/>
      </w:pPr>
      <w:rPr>
        <w:rFonts w:hint="default"/>
      </w:rPr>
    </w:lvl>
  </w:abstractNum>
  <w:abstractNum w:abstractNumId="19">
    <w:nsid w:val="6ECF4D2B"/>
    <w:multiLevelType w:val="hybridMultilevel"/>
    <w:tmpl w:val="983E06F8"/>
    <w:lvl w:ilvl="0" w:tplc="B066B710">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DA20C5"/>
    <w:multiLevelType w:val="hybridMultilevel"/>
    <w:tmpl w:val="8AFECEF4"/>
    <w:lvl w:ilvl="0" w:tplc="FB5EE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E90B7A"/>
    <w:multiLevelType w:val="hybridMultilevel"/>
    <w:tmpl w:val="DF9E480C"/>
    <w:lvl w:ilvl="0" w:tplc="88A22438">
      <w:start w:val="8"/>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8"/>
  </w:num>
  <w:num w:numId="2">
    <w:abstractNumId w:val="18"/>
  </w:num>
  <w:num w:numId="3">
    <w:abstractNumId w:val="7"/>
  </w:num>
  <w:num w:numId="4">
    <w:abstractNumId w:val="10"/>
  </w:num>
  <w:num w:numId="5">
    <w:abstractNumId w:val="3"/>
  </w:num>
  <w:num w:numId="6">
    <w:abstractNumId w:val="19"/>
  </w:num>
  <w:num w:numId="7">
    <w:abstractNumId w:val="15"/>
  </w:num>
  <w:num w:numId="8">
    <w:abstractNumId w:val="16"/>
  </w:num>
  <w:num w:numId="9">
    <w:abstractNumId w:val="13"/>
  </w:num>
  <w:num w:numId="10">
    <w:abstractNumId w:val="5"/>
  </w:num>
  <w:num w:numId="11">
    <w:abstractNumId w:val="11"/>
  </w:num>
  <w:num w:numId="12">
    <w:abstractNumId w:val="1"/>
  </w:num>
  <w:num w:numId="13">
    <w:abstractNumId w:val="14"/>
  </w:num>
  <w:num w:numId="14">
    <w:abstractNumId w:val="19"/>
    <w:lvlOverride w:ilvl="0">
      <w:startOverride w:val="4"/>
    </w:lvlOverride>
  </w:num>
  <w:num w:numId="15">
    <w:abstractNumId w:val="0"/>
  </w:num>
  <w:num w:numId="16">
    <w:abstractNumId w:val="0"/>
    <w:lvlOverride w:ilvl="0">
      <w:startOverride w:val="4"/>
    </w:lvlOverride>
  </w:num>
  <w:num w:numId="17">
    <w:abstractNumId w:val="20"/>
  </w:num>
  <w:num w:numId="18">
    <w:abstractNumId w:val="4"/>
  </w:num>
  <w:num w:numId="19">
    <w:abstractNumId w:val="17"/>
  </w:num>
  <w:num w:numId="20">
    <w:abstractNumId w:val="2"/>
  </w:num>
  <w:num w:numId="21">
    <w:abstractNumId w:val="9"/>
  </w:num>
  <w:num w:numId="22">
    <w:abstractNumId w:val="21"/>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6D02A3"/>
    <w:rsid w:val="00007D4B"/>
    <w:rsid w:val="00010150"/>
    <w:rsid w:val="00010436"/>
    <w:rsid w:val="000111C1"/>
    <w:rsid w:val="00011525"/>
    <w:rsid w:val="0001656B"/>
    <w:rsid w:val="000174E9"/>
    <w:rsid w:val="00020658"/>
    <w:rsid w:val="00021471"/>
    <w:rsid w:val="000267A7"/>
    <w:rsid w:val="000311DE"/>
    <w:rsid w:val="00033075"/>
    <w:rsid w:val="0003317C"/>
    <w:rsid w:val="00033503"/>
    <w:rsid w:val="00033B56"/>
    <w:rsid w:val="00040CB7"/>
    <w:rsid w:val="00041115"/>
    <w:rsid w:val="00041510"/>
    <w:rsid w:val="0004496F"/>
    <w:rsid w:val="000450A5"/>
    <w:rsid w:val="00050344"/>
    <w:rsid w:val="00050D41"/>
    <w:rsid w:val="000571C7"/>
    <w:rsid w:val="00057D32"/>
    <w:rsid w:val="00060793"/>
    <w:rsid w:val="00062CF5"/>
    <w:rsid w:val="000654F1"/>
    <w:rsid w:val="000663D7"/>
    <w:rsid w:val="00070A50"/>
    <w:rsid w:val="00072C43"/>
    <w:rsid w:val="00081443"/>
    <w:rsid w:val="00082228"/>
    <w:rsid w:val="00082D2A"/>
    <w:rsid w:val="00084AE3"/>
    <w:rsid w:val="00084E49"/>
    <w:rsid w:val="000872A9"/>
    <w:rsid w:val="000874E7"/>
    <w:rsid w:val="0009402C"/>
    <w:rsid w:val="000959BD"/>
    <w:rsid w:val="00096948"/>
    <w:rsid w:val="00097415"/>
    <w:rsid w:val="00097B2C"/>
    <w:rsid w:val="00097CA8"/>
    <w:rsid w:val="000A5978"/>
    <w:rsid w:val="000A5C3C"/>
    <w:rsid w:val="000B5C17"/>
    <w:rsid w:val="000B66B1"/>
    <w:rsid w:val="000C1224"/>
    <w:rsid w:val="000C1AA7"/>
    <w:rsid w:val="000C39B1"/>
    <w:rsid w:val="000C3DF2"/>
    <w:rsid w:val="000C421F"/>
    <w:rsid w:val="000C6848"/>
    <w:rsid w:val="000C7FF1"/>
    <w:rsid w:val="000D266A"/>
    <w:rsid w:val="000D4AC5"/>
    <w:rsid w:val="000D6077"/>
    <w:rsid w:val="000D71B3"/>
    <w:rsid w:val="000E221F"/>
    <w:rsid w:val="000E2A87"/>
    <w:rsid w:val="000E7663"/>
    <w:rsid w:val="000F1434"/>
    <w:rsid w:val="000F3F67"/>
    <w:rsid w:val="000F521F"/>
    <w:rsid w:val="000F5D34"/>
    <w:rsid w:val="000F665B"/>
    <w:rsid w:val="001002A2"/>
    <w:rsid w:val="00100543"/>
    <w:rsid w:val="00100581"/>
    <w:rsid w:val="001013F9"/>
    <w:rsid w:val="00103261"/>
    <w:rsid w:val="00104C49"/>
    <w:rsid w:val="00106CB1"/>
    <w:rsid w:val="00106FB4"/>
    <w:rsid w:val="00107374"/>
    <w:rsid w:val="00113F4D"/>
    <w:rsid w:val="00114371"/>
    <w:rsid w:val="001149B8"/>
    <w:rsid w:val="00114D6E"/>
    <w:rsid w:val="00114F35"/>
    <w:rsid w:val="0011583E"/>
    <w:rsid w:val="00116F02"/>
    <w:rsid w:val="00120148"/>
    <w:rsid w:val="0012103B"/>
    <w:rsid w:val="00121707"/>
    <w:rsid w:val="00126299"/>
    <w:rsid w:val="00126B97"/>
    <w:rsid w:val="001333A6"/>
    <w:rsid w:val="00134308"/>
    <w:rsid w:val="001367EC"/>
    <w:rsid w:val="00136ACC"/>
    <w:rsid w:val="00141B1E"/>
    <w:rsid w:val="00143CC5"/>
    <w:rsid w:val="00144455"/>
    <w:rsid w:val="00144F7E"/>
    <w:rsid w:val="00146BC5"/>
    <w:rsid w:val="00151471"/>
    <w:rsid w:val="00153742"/>
    <w:rsid w:val="00153AF1"/>
    <w:rsid w:val="00155131"/>
    <w:rsid w:val="00155324"/>
    <w:rsid w:val="0015626D"/>
    <w:rsid w:val="00161A0E"/>
    <w:rsid w:val="00164E95"/>
    <w:rsid w:val="00165831"/>
    <w:rsid w:val="0017086B"/>
    <w:rsid w:val="0017201B"/>
    <w:rsid w:val="0017488C"/>
    <w:rsid w:val="00182007"/>
    <w:rsid w:val="00183474"/>
    <w:rsid w:val="00183B82"/>
    <w:rsid w:val="00186701"/>
    <w:rsid w:val="00191F8A"/>
    <w:rsid w:val="00192175"/>
    <w:rsid w:val="001922E2"/>
    <w:rsid w:val="001941C6"/>
    <w:rsid w:val="0019468C"/>
    <w:rsid w:val="00195F90"/>
    <w:rsid w:val="00197FE0"/>
    <w:rsid w:val="001A0F4C"/>
    <w:rsid w:val="001A1681"/>
    <w:rsid w:val="001A4570"/>
    <w:rsid w:val="001A4E30"/>
    <w:rsid w:val="001A72AB"/>
    <w:rsid w:val="001C1B56"/>
    <w:rsid w:val="001C5E8B"/>
    <w:rsid w:val="001D0B1B"/>
    <w:rsid w:val="001D1CB5"/>
    <w:rsid w:val="001D1E62"/>
    <w:rsid w:val="001D31AF"/>
    <w:rsid w:val="001D4A1C"/>
    <w:rsid w:val="001D4E94"/>
    <w:rsid w:val="001E058B"/>
    <w:rsid w:val="001E1429"/>
    <w:rsid w:val="001E2485"/>
    <w:rsid w:val="001E4AA3"/>
    <w:rsid w:val="001E4C27"/>
    <w:rsid w:val="001E5692"/>
    <w:rsid w:val="001F0447"/>
    <w:rsid w:val="001F1545"/>
    <w:rsid w:val="001F3735"/>
    <w:rsid w:val="001F37DC"/>
    <w:rsid w:val="001F437F"/>
    <w:rsid w:val="001F5C51"/>
    <w:rsid w:val="00200049"/>
    <w:rsid w:val="00205DD2"/>
    <w:rsid w:val="00210541"/>
    <w:rsid w:val="00213313"/>
    <w:rsid w:val="00214769"/>
    <w:rsid w:val="0021724F"/>
    <w:rsid w:val="00217ADA"/>
    <w:rsid w:val="00220820"/>
    <w:rsid w:val="00220FA4"/>
    <w:rsid w:val="002259EC"/>
    <w:rsid w:val="00225E79"/>
    <w:rsid w:val="00226D9E"/>
    <w:rsid w:val="00230492"/>
    <w:rsid w:val="002307C1"/>
    <w:rsid w:val="002352A3"/>
    <w:rsid w:val="0023562E"/>
    <w:rsid w:val="00240DD5"/>
    <w:rsid w:val="00240FC9"/>
    <w:rsid w:val="0024423D"/>
    <w:rsid w:val="00244A3B"/>
    <w:rsid w:val="002454DE"/>
    <w:rsid w:val="00247203"/>
    <w:rsid w:val="0025000B"/>
    <w:rsid w:val="002515FC"/>
    <w:rsid w:val="00252B08"/>
    <w:rsid w:val="00256F0F"/>
    <w:rsid w:val="00261351"/>
    <w:rsid w:val="00261DC9"/>
    <w:rsid w:val="00262621"/>
    <w:rsid w:val="002639FA"/>
    <w:rsid w:val="00265FEA"/>
    <w:rsid w:val="002678BB"/>
    <w:rsid w:val="00267D48"/>
    <w:rsid w:val="0027050E"/>
    <w:rsid w:val="002707A2"/>
    <w:rsid w:val="00273173"/>
    <w:rsid w:val="002745C3"/>
    <w:rsid w:val="0027611F"/>
    <w:rsid w:val="00276916"/>
    <w:rsid w:val="002806C4"/>
    <w:rsid w:val="002812E8"/>
    <w:rsid w:val="0028253D"/>
    <w:rsid w:val="00282A03"/>
    <w:rsid w:val="00285357"/>
    <w:rsid w:val="0028718E"/>
    <w:rsid w:val="00292AE9"/>
    <w:rsid w:val="00292EB5"/>
    <w:rsid w:val="00297331"/>
    <w:rsid w:val="002A0ABD"/>
    <w:rsid w:val="002A5AAB"/>
    <w:rsid w:val="002A6BE3"/>
    <w:rsid w:val="002A712F"/>
    <w:rsid w:val="002A787C"/>
    <w:rsid w:val="002B0A9A"/>
    <w:rsid w:val="002B0D16"/>
    <w:rsid w:val="002B1688"/>
    <w:rsid w:val="002B2B83"/>
    <w:rsid w:val="002B39E0"/>
    <w:rsid w:val="002B5844"/>
    <w:rsid w:val="002B58EB"/>
    <w:rsid w:val="002C0789"/>
    <w:rsid w:val="002C514A"/>
    <w:rsid w:val="002C5ADA"/>
    <w:rsid w:val="002C5BE4"/>
    <w:rsid w:val="002C69B2"/>
    <w:rsid w:val="002C71EC"/>
    <w:rsid w:val="002C7864"/>
    <w:rsid w:val="002D7FFD"/>
    <w:rsid w:val="002E4311"/>
    <w:rsid w:val="002F092D"/>
    <w:rsid w:val="002F097A"/>
    <w:rsid w:val="002F5A60"/>
    <w:rsid w:val="002F5ADE"/>
    <w:rsid w:val="00300D62"/>
    <w:rsid w:val="00300EC6"/>
    <w:rsid w:val="00301E4C"/>
    <w:rsid w:val="0030451D"/>
    <w:rsid w:val="00304520"/>
    <w:rsid w:val="003048FD"/>
    <w:rsid w:val="003068C7"/>
    <w:rsid w:val="00312183"/>
    <w:rsid w:val="00313EAF"/>
    <w:rsid w:val="00314364"/>
    <w:rsid w:val="00314B96"/>
    <w:rsid w:val="00315C1F"/>
    <w:rsid w:val="00316CE1"/>
    <w:rsid w:val="00317340"/>
    <w:rsid w:val="00321F36"/>
    <w:rsid w:val="00326B9D"/>
    <w:rsid w:val="003336A9"/>
    <w:rsid w:val="0033589D"/>
    <w:rsid w:val="00335A28"/>
    <w:rsid w:val="00335C61"/>
    <w:rsid w:val="003369C4"/>
    <w:rsid w:val="00336E81"/>
    <w:rsid w:val="0034155D"/>
    <w:rsid w:val="0035015B"/>
    <w:rsid w:val="00350422"/>
    <w:rsid w:val="003504D7"/>
    <w:rsid w:val="00350609"/>
    <w:rsid w:val="00352EEF"/>
    <w:rsid w:val="00354EC3"/>
    <w:rsid w:val="00355B33"/>
    <w:rsid w:val="003600A8"/>
    <w:rsid w:val="00362042"/>
    <w:rsid w:val="00362B5F"/>
    <w:rsid w:val="00364CB8"/>
    <w:rsid w:val="00364F4C"/>
    <w:rsid w:val="003663C3"/>
    <w:rsid w:val="00366CDC"/>
    <w:rsid w:val="00366FE5"/>
    <w:rsid w:val="0037002E"/>
    <w:rsid w:val="003709EF"/>
    <w:rsid w:val="00370FC0"/>
    <w:rsid w:val="00371C4C"/>
    <w:rsid w:val="00377A5F"/>
    <w:rsid w:val="00383B8F"/>
    <w:rsid w:val="00392422"/>
    <w:rsid w:val="00395F3D"/>
    <w:rsid w:val="003969E4"/>
    <w:rsid w:val="003A0ADE"/>
    <w:rsid w:val="003A21DD"/>
    <w:rsid w:val="003A625E"/>
    <w:rsid w:val="003A67A2"/>
    <w:rsid w:val="003B1FD5"/>
    <w:rsid w:val="003B40E1"/>
    <w:rsid w:val="003B527E"/>
    <w:rsid w:val="003B68B6"/>
    <w:rsid w:val="003B6AD5"/>
    <w:rsid w:val="003C0F35"/>
    <w:rsid w:val="003C1774"/>
    <w:rsid w:val="003C196B"/>
    <w:rsid w:val="003C1E84"/>
    <w:rsid w:val="003C7B29"/>
    <w:rsid w:val="003D1B84"/>
    <w:rsid w:val="003D2318"/>
    <w:rsid w:val="003D2AF9"/>
    <w:rsid w:val="003D72C8"/>
    <w:rsid w:val="003E0884"/>
    <w:rsid w:val="003E0B17"/>
    <w:rsid w:val="003E0C1D"/>
    <w:rsid w:val="003E3DCF"/>
    <w:rsid w:val="003E59E7"/>
    <w:rsid w:val="003E74BE"/>
    <w:rsid w:val="003F0145"/>
    <w:rsid w:val="003F1EE4"/>
    <w:rsid w:val="003F3083"/>
    <w:rsid w:val="003F3D62"/>
    <w:rsid w:val="003F4CD7"/>
    <w:rsid w:val="003F6A78"/>
    <w:rsid w:val="00400507"/>
    <w:rsid w:val="00403AE6"/>
    <w:rsid w:val="004051BA"/>
    <w:rsid w:val="004069CC"/>
    <w:rsid w:val="00406EA5"/>
    <w:rsid w:val="0040710D"/>
    <w:rsid w:val="00410C56"/>
    <w:rsid w:val="00412F94"/>
    <w:rsid w:val="0041353A"/>
    <w:rsid w:val="0041622F"/>
    <w:rsid w:val="00417E1B"/>
    <w:rsid w:val="00417EFE"/>
    <w:rsid w:val="00421AD8"/>
    <w:rsid w:val="00424479"/>
    <w:rsid w:val="004244A6"/>
    <w:rsid w:val="00425AC8"/>
    <w:rsid w:val="00426C3F"/>
    <w:rsid w:val="00430E0F"/>
    <w:rsid w:val="00432ADD"/>
    <w:rsid w:val="004357F1"/>
    <w:rsid w:val="0043597B"/>
    <w:rsid w:val="00436505"/>
    <w:rsid w:val="0044532D"/>
    <w:rsid w:val="00446231"/>
    <w:rsid w:val="0045066A"/>
    <w:rsid w:val="00451D2D"/>
    <w:rsid w:val="00454A20"/>
    <w:rsid w:val="00454A53"/>
    <w:rsid w:val="00455FCF"/>
    <w:rsid w:val="00461C69"/>
    <w:rsid w:val="004621A7"/>
    <w:rsid w:val="00463B0D"/>
    <w:rsid w:val="00475157"/>
    <w:rsid w:val="004762E6"/>
    <w:rsid w:val="00481A1F"/>
    <w:rsid w:val="00485845"/>
    <w:rsid w:val="0048612F"/>
    <w:rsid w:val="00487B50"/>
    <w:rsid w:val="00490928"/>
    <w:rsid w:val="00495E98"/>
    <w:rsid w:val="00496300"/>
    <w:rsid w:val="00497332"/>
    <w:rsid w:val="004A101E"/>
    <w:rsid w:val="004A3230"/>
    <w:rsid w:val="004A4342"/>
    <w:rsid w:val="004A4368"/>
    <w:rsid w:val="004A5FD6"/>
    <w:rsid w:val="004A60DA"/>
    <w:rsid w:val="004B5E47"/>
    <w:rsid w:val="004C2C94"/>
    <w:rsid w:val="004C55DF"/>
    <w:rsid w:val="004C587F"/>
    <w:rsid w:val="004C5E47"/>
    <w:rsid w:val="004C646D"/>
    <w:rsid w:val="004C77FE"/>
    <w:rsid w:val="004D07C8"/>
    <w:rsid w:val="004D10F7"/>
    <w:rsid w:val="004D1589"/>
    <w:rsid w:val="004D1B64"/>
    <w:rsid w:val="004D2560"/>
    <w:rsid w:val="004D4B57"/>
    <w:rsid w:val="004D77EB"/>
    <w:rsid w:val="004E07AB"/>
    <w:rsid w:val="004E33CA"/>
    <w:rsid w:val="004F0E7E"/>
    <w:rsid w:val="004F2523"/>
    <w:rsid w:val="004F4260"/>
    <w:rsid w:val="004F5C7D"/>
    <w:rsid w:val="004F7055"/>
    <w:rsid w:val="004F7586"/>
    <w:rsid w:val="004F79D2"/>
    <w:rsid w:val="00503BAD"/>
    <w:rsid w:val="005055D0"/>
    <w:rsid w:val="00505C1C"/>
    <w:rsid w:val="00505D26"/>
    <w:rsid w:val="00506DF2"/>
    <w:rsid w:val="00507835"/>
    <w:rsid w:val="00507CAE"/>
    <w:rsid w:val="00510949"/>
    <w:rsid w:val="00510D8B"/>
    <w:rsid w:val="005117DD"/>
    <w:rsid w:val="00511D20"/>
    <w:rsid w:val="00512E40"/>
    <w:rsid w:val="005132F9"/>
    <w:rsid w:val="005145BB"/>
    <w:rsid w:val="005221A8"/>
    <w:rsid w:val="00524711"/>
    <w:rsid w:val="0052579E"/>
    <w:rsid w:val="005314DA"/>
    <w:rsid w:val="005318D1"/>
    <w:rsid w:val="00532544"/>
    <w:rsid w:val="00540B00"/>
    <w:rsid w:val="00541CD4"/>
    <w:rsid w:val="005450FE"/>
    <w:rsid w:val="00545FF3"/>
    <w:rsid w:val="00546F78"/>
    <w:rsid w:val="005472CF"/>
    <w:rsid w:val="0055559C"/>
    <w:rsid w:val="005607FD"/>
    <w:rsid w:val="005700D0"/>
    <w:rsid w:val="00570847"/>
    <w:rsid w:val="00576AF1"/>
    <w:rsid w:val="00577459"/>
    <w:rsid w:val="005829B5"/>
    <w:rsid w:val="00583F7E"/>
    <w:rsid w:val="005857E8"/>
    <w:rsid w:val="005862FC"/>
    <w:rsid w:val="005864DA"/>
    <w:rsid w:val="00590038"/>
    <w:rsid w:val="005913D8"/>
    <w:rsid w:val="00592C9A"/>
    <w:rsid w:val="00593160"/>
    <w:rsid w:val="00597972"/>
    <w:rsid w:val="00597B0A"/>
    <w:rsid w:val="005A01D1"/>
    <w:rsid w:val="005A2812"/>
    <w:rsid w:val="005A3ECC"/>
    <w:rsid w:val="005A4E43"/>
    <w:rsid w:val="005A5A40"/>
    <w:rsid w:val="005B2922"/>
    <w:rsid w:val="005B31B6"/>
    <w:rsid w:val="005B4D22"/>
    <w:rsid w:val="005B5863"/>
    <w:rsid w:val="005C0E69"/>
    <w:rsid w:val="005C3589"/>
    <w:rsid w:val="005C3A09"/>
    <w:rsid w:val="005C4CD8"/>
    <w:rsid w:val="005C4FD7"/>
    <w:rsid w:val="005C505C"/>
    <w:rsid w:val="005D22C4"/>
    <w:rsid w:val="005D7B0F"/>
    <w:rsid w:val="005E009E"/>
    <w:rsid w:val="005E1721"/>
    <w:rsid w:val="005E22CD"/>
    <w:rsid w:val="005E3006"/>
    <w:rsid w:val="005E5EA7"/>
    <w:rsid w:val="005E64A4"/>
    <w:rsid w:val="005E67C6"/>
    <w:rsid w:val="005F183F"/>
    <w:rsid w:val="005F38D8"/>
    <w:rsid w:val="005F3B93"/>
    <w:rsid w:val="005F5EFA"/>
    <w:rsid w:val="005F600A"/>
    <w:rsid w:val="005F68EF"/>
    <w:rsid w:val="005F77B0"/>
    <w:rsid w:val="0060037C"/>
    <w:rsid w:val="00602F16"/>
    <w:rsid w:val="0060347A"/>
    <w:rsid w:val="006036DB"/>
    <w:rsid w:val="00603EF1"/>
    <w:rsid w:val="00607D16"/>
    <w:rsid w:val="00610FC8"/>
    <w:rsid w:val="0061605A"/>
    <w:rsid w:val="006175FA"/>
    <w:rsid w:val="00620D1B"/>
    <w:rsid w:val="006248FB"/>
    <w:rsid w:val="00626876"/>
    <w:rsid w:val="00630AFA"/>
    <w:rsid w:val="006318E1"/>
    <w:rsid w:val="00634656"/>
    <w:rsid w:val="00634DCB"/>
    <w:rsid w:val="006359A5"/>
    <w:rsid w:val="00636AFF"/>
    <w:rsid w:val="00646D89"/>
    <w:rsid w:val="00653E04"/>
    <w:rsid w:val="00654251"/>
    <w:rsid w:val="00655ECD"/>
    <w:rsid w:val="00656D44"/>
    <w:rsid w:val="006573A9"/>
    <w:rsid w:val="006623C9"/>
    <w:rsid w:val="00664C30"/>
    <w:rsid w:val="00667331"/>
    <w:rsid w:val="006710EC"/>
    <w:rsid w:val="00675BC7"/>
    <w:rsid w:val="0068095D"/>
    <w:rsid w:val="00680BDB"/>
    <w:rsid w:val="00687508"/>
    <w:rsid w:val="006912D8"/>
    <w:rsid w:val="0069421D"/>
    <w:rsid w:val="00695F69"/>
    <w:rsid w:val="00696A54"/>
    <w:rsid w:val="00697244"/>
    <w:rsid w:val="00697FAE"/>
    <w:rsid w:val="006A1D90"/>
    <w:rsid w:val="006A2E76"/>
    <w:rsid w:val="006A40E4"/>
    <w:rsid w:val="006A482B"/>
    <w:rsid w:val="006A4EAF"/>
    <w:rsid w:val="006A5806"/>
    <w:rsid w:val="006A5C67"/>
    <w:rsid w:val="006B06EE"/>
    <w:rsid w:val="006B26BC"/>
    <w:rsid w:val="006B2710"/>
    <w:rsid w:val="006B3B3D"/>
    <w:rsid w:val="006B7B19"/>
    <w:rsid w:val="006C2E8F"/>
    <w:rsid w:val="006C6AE8"/>
    <w:rsid w:val="006D02A3"/>
    <w:rsid w:val="006D3A8C"/>
    <w:rsid w:val="006D627A"/>
    <w:rsid w:val="006D68C6"/>
    <w:rsid w:val="006E11D3"/>
    <w:rsid w:val="006E2A18"/>
    <w:rsid w:val="006E2BC9"/>
    <w:rsid w:val="006E3704"/>
    <w:rsid w:val="006E7DBA"/>
    <w:rsid w:val="006F0E51"/>
    <w:rsid w:val="006F0F48"/>
    <w:rsid w:val="006F11E3"/>
    <w:rsid w:val="006F2AF5"/>
    <w:rsid w:val="006F38A6"/>
    <w:rsid w:val="006F6EFA"/>
    <w:rsid w:val="006F7E5E"/>
    <w:rsid w:val="007001FF"/>
    <w:rsid w:val="0070592C"/>
    <w:rsid w:val="00706351"/>
    <w:rsid w:val="00706AFB"/>
    <w:rsid w:val="0071023D"/>
    <w:rsid w:val="00711F7D"/>
    <w:rsid w:val="00716B1B"/>
    <w:rsid w:val="00720383"/>
    <w:rsid w:val="00720FA8"/>
    <w:rsid w:val="007225DB"/>
    <w:rsid w:val="007255F4"/>
    <w:rsid w:val="00727414"/>
    <w:rsid w:val="00727CD0"/>
    <w:rsid w:val="00731836"/>
    <w:rsid w:val="00731E21"/>
    <w:rsid w:val="007322BC"/>
    <w:rsid w:val="00732B92"/>
    <w:rsid w:val="0073661D"/>
    <w:rsid w:val="00743EAC"/>
    <w:rsid w:val="007444EF"/>
    <w:rsid w:val="007446D7"/>
    <w:rsid w:val="0074497A"/>
    <w:rsid w:val="007458FD"/>
    <w:rsid w:val="0075023D"/>
    <w:rsid w:val="00751198"/>
    <w:rsid w:val="00751C24"/>
    <w:rsid w:val="00756688"/>
    <w:rsid w:val="00762940"/>
    <w:rsid w:val="0076298A"/>
    <w:rsid w:val="00762CE3"/>
    <w:rsid w:val="0076548F"/>
    <w:rsid w:val="0076609B"/>
    <w:rsid w:val="007665FD"/>
    <w:rsid w:val="00771475"/>
    <w:rsid w:val="00775233"/>
    <w:rsid w:val="00775771"/>
    <w:rsid w:val="007767DE"/>
    <w:rsid w:val="00777493"/>
    <w:rsid w:val="0078185E"/>
    <w:rsid w:val="00785B7B"/>
    <w:rsid w:val="0078665F"/>
    <w:rsid w:val="00787499"/>
    <w:rsid w:val="007877D0"/>
    <w:rsid w:val="00793E01"/>
    <w:rsid w:val="00795045"/>
    <w:rsid w:val="00795886"/>
    <w:rsid w:val="00795E0A"/>
    <w:rsid w:val="007A60C4"/>
    <w:rsid w:val="007B09F3"/>
    <w:rsid w:val="007B24BD"/>
    <w:rsid w:val="007B2C69"/>
    <w:rsid w:val="007B39BF"/>
    <w:rsid w:val="007B4E74"/>
    <w:rsid w:val="007C0C92"/>
    <w:rsid w:val="007C38A1"/>
    <w:rsid w:val="007C4EE7"/>
    <w:rsid w:val="007C5062"/>
    <w:rsid w:val="007C7124"/>
    <w:rsid w:val="007C78BD"/>
    <w:rsid w:val="007D2BB4"/>
    <w:rsid w:val="007D4839"/>
    <w:rsid w:val="007D4D7C"/>
    <w:rsid w:val="007D4EA0"/>
    <w:rsid w:val="007D5FDF"/>
    <w:rsid w:val="007D719C"/>
    <w:rsid w:val="007D7A92"/>
    <w:rsid w:val="007D7EA3"/>
    <w:rsid w:val="007E23D6"/>
    <w:rsid w:val="007E2D15"/>
    <w:rsid w:val="007E5314"/>
    <w:rsid w:val="007F0CE3"/>
    <w:rsid w:val="007F4382"/>
    <w:rsid w:val="0080198E"/>
    <w:rsid w:val="00801E96"/>
    <w:rsid w:val="00805FE0"/>
    <w:rsid w:val="0080678B"/>
    <w:rsid w:val="00813A6C"/>
    <w:rsid w:val="00815316"/>
    <w:rsid w:val="0081608A"/>
    <w:rsid w:val="00816185"/>
    <w:rsid w:val="00817D03"/>
    <w:rsid w:val="0082158E"/>
    <w:rsid w:val="008248DD"/>
    <w:rsid w:val="0082606B"/>
    <w:rsid w:val="0083165B"/>
    <w:rsid w:val="008330CB"/>
    <w:rsid w:val="00841945"/>
    <w:rsid w:val="00841F32"/>
    <w:rsid w:val="00842522"/>
    <w:rsid w:val="0084362B"/>
    <w:rsid w:val="0084503E"/>
    <w:rsid w:val="00846203"/>
    <w:rsid w:val="00850CF8"/>
    <w:rsid w:val="008514BA"/>
    <w:rsid w:val="008558DC"/>
    <w:rsid w:val="0085644C"/>
    <w:rsid w:val="00857CB3"/>
    <w:rsid w:val="008608BC"/>
    <w:rsid w:val="0086091E"/>
    <w:rsid w:val="008622E4"/>
    <w:rsid w:val="00864395"/>
    <w:rsid w:val="008659A5"/>
    <w:rsid w:val="00867293"/>
    <w:rsid w:val="00867B10"/>
    <w:rsid w:val="00870033"/>
    <w:rsid w:val="00871B97"/>
    <w:rsid w:val="00876749"/>
    <w:rsid w:val="00886205"/>
    <w:rsid w:val="00890C21"/>
    <w:rsid w:val="00894BDE"/>
    <w:rsid w:val="00896C43"/>
    <w:rsid w:val="00897129"/>
    <w:rsid w:val="0089736D"/>
    <w:rsid w:val="00897B3F"/>
    <w:rsid w:val="008A1A01"/>
    <w:rsid w:val="008A1FDB"/>
    <w:rsid w:val="008A20DA"/>
    <w:rsid w:val="008A2A06"/>
    <w:rsid w:val="008A3021"/>
    <w:rsid w:val="008A4BA4"/>
    <w:rsid w:val="008A7073"/>
    <w:rsid w:val="008B42E3"/>
    <w:rsid w:val="008B560D"/>
    <w:rsid w:val="008B6CBF"/>
    <w:rsid w:val="008B6D2F"/>
    <w:rsid w:val="008B77B6"/>
    <w:rsid w:val="008C14E6"/>
    <w:rsid w:val="008C1A26"/>
    <w:rsid w:val="008C4D93"/>
    <w:rsid w:val="008C5E37"/>
    <w:rsid w:val="008C6CF9"/>
    <w:rsid w:val="008D2272"/>
    <w:rsid w:val="008D56B2"/>
    <w:rsid w:val="008D5D92"/>
    <w:rsid w:val="008D7D70"/>
    <w:rsid w:val="008E291B"/>
    <w:rsid w:val="008E7305"/>
    <w:rsid w:val="008F23EF"/>
    <w:rsid w:val="008F51A1"/>
    <w:rsid w:val="00901B4C"/>
    <w:rsid w:val="00901D23"/>
    <w:rsid w:val="0090410F"/>
    <w:rsid w:val="009066B0"/>
    <w:rsid w:val="0091382E"/>
    <w:rsid w:val="0091481C"/>
    <w:rsid w:val="00914BF7"/>
    <w:rsid w:val="00917B14"/>
    <w:rsid w:val="00920F49"/>
    <w:rsid w:val="00921B3E"/>
    <w:rsid w:val="009224A3"/>
    <w:rsid w:val="00922E08"/>
    <w:rsid w:val="00923B56"/>
    <w:rsid w:val="0093080F"/>
    <w:rsid w:val="00931272"/>
    <w:rsid w:val="00935E3C"/>
    <w:rsid w:val="00945DC9"/>
    <w:rsid w:val="00946138"/>
    <w:rsid w:val="009474E0"/>
    <w:rsid w:val="009520B9"/>
    <w:rsid w:val="009522BC"/>
    <w:rsid w:val="00953EA6"/>
    <w:rsid w:val="009561F2"/>
    <w:rsid w:val="0096047C"/>
    <w:rsid w:val="00961973"/>
    <w:rsid w:val="00962D8E"/>
    <w:rsid w:val="00964FDD"/>
    <w:rsid w:val="00965478"/>
    <w:rsid w:val="009656F4"/>
    <w:rsid w:val="00965F70"/>
    <w:rsid w:val="00966DC9"/>
    <w:rsid w:val="00970C58"/>
    <w:rsid w:val="00975E12"/>
    <w:rsid w:val="0098216E"/>
    <w:rsid w:val="00983C92"/>
    <w:rsid w:val="00984A9C"/>
    <w:rsid w:val="0098509D"/>
    <w:rsid w:val="00991EB1"/>
    <w:rsid w:val="009923FA"/>
    <w:rsid w:val="00992508"/>
    <w:rsid w:val="00992F16"/>
    <w:rsid w:val="00995BB0"/>
    <w:rsid w:val="009A125A"/>
    <w:rsid w:val="009A1296"/>
    <w:rsid w:val="009A2EE5"/>
    <w:rsid w:val="009A30DE"/>
    <w:rsid w:val="009A3571"/>
    <w:rsid w:val="009A6B24"/>
    <w:rsid w:val="009B13DC"/>
    <w:rsid w:val="009B21F0"/>
    <w:rsid w:val="009B2D1C"/>
    <w:rsid w:val="009B4FD8"/>
    <w:rsid w:val="009B6745"/>
    <w:rsid w:val="009C0399"/>
    <w:rsid w:val="009C0AAE"/>
    <w:rsid w:val="009C1F44"/>
    <w:rsid w:val="009C3FFF"/>
    <w:rsid w:val="009C4143"/>
    <w:rsid w:val="009C43A9"/>
    <w:rsid w:val="009C45C0"/>
    <w:rsid w:val="009C53DD"/>
    <w:rsid w:val="009C57FF"/>
    <w:rsid w:val="009D0315"/>
    <w:rsid w:val="009D1DF6"/>
    <w:rsid w:val="009D2559"/>
    <w:rsid w:val="009D2911"/>
    <w:rsid w:val="009D3250"/>
    <w:rsid w:val="009D6751"/>
    <w:rsid w:val="009D725B"/>
    <w:rsid w:val="009E0309"/>
    <w:rsid w:val="009E0593"/>
    <w:rsid w:val="009E1675"/>
    <w:rsid w:val="009E1E04"/>
    <w:rsid w:val="009E4F5E"/>
    <w:rsid w:val="009E5775"/>
    <w:rsid w:val="009E5D41"/>
    <w:rsid w:val="009F097F"/>
    <w:rsid w:val="009F165F"/>
    <w:rsid w:val="009F1679"/>
    <w:rsid w:val="009F3A8F"/>
    <w:rsid w:val="009F4CD9"/>
    <w:rsid w:val="009F4D52"/>
    <w:rsid w:val="009F615E"/>
    <w:rsid w:val="009F697A"/>
    <w:rsid w:val="00A04A2E"/>
    <w:rsid w:val="00A0553A"/>
    <w:rsid w:val="00A06C85"/>
    <w:rsid w:val="00A07D8D"/>
    <w:rsid w:val="00A10CEB"/>
    <w:rsid w:val="00A13A36"/>
    <w:rsid w:val="00A14BA3"/>
    <w:rsid w:val="00A16068"/>
    <w:rsid w:val="00A168A3"/>
    <w:rsid w:val="00A20121"/>
    <w:rsid w:val="00A2025A"/>
    <w:rsid w:val="00A21A4C"/>
    <w:rsid w:val="00A25B1B"/>
    <w:rsid w:val="00A3014C"/>
    <w:rsid w:val="00A3221A"/>
    <w:rsid w:val="00A35135"/>
    <w:rsid w:val="00A37654"/>
    <w:rsid w:val="00A37A48"/>
    <w:rsid w:val="00A37DD0"/>
    <w:rsid w:val="00A37EF6"/>
    <w:rsid w:val="00A40A47"/>
    <w:rsid w:val="00A4487E"/>
    <w:rsid w:val="00A44EF2"/>
    <w:rsid w:val="00A47230"/>
    <w:rsid w:val="00A477F4"/>
    <w:rsid w:val="00A51091"/>
    <w:rsid w:val="00A531B5"/>
    <w:rsid w:val="00A53E07"/>
    <w:rsid w:val="00A56479"/>
    <w:rsid w:val="00A610D6"/>
    <w:rsid w:val="00A611B6"/>
    <w:rsid w:val="00A663F8"/>
    <w:rsid w:val="00A66DDA"/>
    <w:rsid w:val="00A71C44"/>
    <w:rsid w:val="00A72493"/>
    <w:rsid w:val="00A73B39"/>
    <w:rsid w:val="00A74E3F"/>
    <w:rsid w:val="00A7540B"/>
    <w:rsid w:val="00A774FA"/>
    <w:rsid w:val="00A81D40"/>
    <w:rsid w:val="00A85BC5"/>
    <w:rsid w:val="00A92316"/>
    <w:rsid w:val="00A927F2"/>
    <w:rsid w:val="00A92F7C"/>
    <w:rsid w:val="00A94EC2"/>
    <w:rsid w:val="00A96584"/>
    <w:rsid w:val="00AA3884"/>
    <w:rsid w:val="00AB30ED"/>
    <w:rsid w:val="00AC2474"/>
    <w:rsid w:val="00AC59BE"/>
    <w:rsid w:val="00AC5C5F"/>
    <w:rsid w:val="00AD0328"/>
    <w:rsid w:val="00AD426A"/>
    <w:rsid w:val="00AD42F0"/>
    <w:rsid w:val="00AD4B01"/>
    <w:rsid w:val="00AE3A32"/>
    <w:rsid w:val="00AE3D11"/>
    <w:rsid w:val="00AE5801"/>
    <w:rsid w:val="00AF6DD4"/>
    <w:rsid w:val="00AF7900"/>
    <w:rsid w:val="00B0004A"/>
    <w:rsid w:val="00B01C12"/>
    <w:rsid w:val="00B03D2E"/>
    <w:rsid w:val="00B04E95"/>
    <w:rsid w:val="00B06384"/>
    <w:rsid w:val="00B10EE2"/>
    <w:rsid w:val="00B11B7F"/>
    <w:rsid w:val="00B125BC"/>
    <w:rsid w:val="00B12D8E"/>
    <w:rsid w:val="00B150C7"/>
    <w:rsid w:val="00B20660"/>
    <w:rsid w:val="00B21517"/>
    <w:rsid w:val="00B2193E"/>
    <w:rsid w:val="00B2269C"/>
    <w:rsid w:val="00B22AC2"/>
    <w:rsid w:val="00B256EA"/>
    <w:rsid w:val="00B264CB"/>
    <w:rsid w:val="00B273EC"/>
    <w:rsid w:val="00B27AAD"/>
    <w:rsid w:val="00B40097"/>
    <w:rsid w:val="00B40792"/>
    <w:rsid w:val="00B411DF"/>
    <w:rsid w:val="00B41FB9"/>
    <w:rsid w:val="00B42081"/>
    <w:rsid w:val="00B435EF"/>
    <w:rsid w:val="00B44FED"/>
    <w:rsid w:val="00B45CD3"/>
    <w:rsid w:val="00B472B1"/>
    <w:rsid w:val="00B47EBE"/>
    <w:rsid w:val="00B5204A"/>
    <w:rsid w:val="00B56519"/>
    <w:rsid w:val="00B5714D"/>
    <w:rsid w:val="00B60829"/>
    <w:rsid w:val="00B615DE"/>
    <w:rsid w:val="00B61723"/>
    <w:rsid w:val="00B626D9"/>
    <w:rsid w:val="00B632CB"/>
    <w:rsid w:val="00B6347C"/>
    <w:rsid w:val="00B63934"/>
    <w:rsid w:val="00B64138"/>
    <w:rsid w:val="00B6447B"/>
    <w:rsid w:val="00B66DA9"/>
    <w:rsid w:val="00B675BD"/>
    <w:rsid w:val="00B75A12"/>
    <w:rsid w:val="00B76A27"/>
    <w:rsid w:val="00B820A0"/>
    <w:rsid w:val="00B87C0F"/>
    <w:rsid w:val="00B93048"/>
    <w:rsid w:val="00B9332F"/>
    <w:rsid w:val="00B934B9"/>
    <w:rsid w:val="00B95ACF"/>
    <w:rsid w:val="00B96A66"/>
    <w:rsid w:val="00BA20A9"/>
    <w:rsid w:val="00BA32E0"/>
    <w:rsid w:val="00BA384A"/>
    <w:rsid w:val="00BA3EE6"/>
    <w:rsid w:val="00BA5F2F"/>
    <w:rsid w:val="00BA640F"/>
    <w:rsid w:val="00BB0C45"/>
    <w:rsid w:val="00BB4674"/>
    <w:rsid w:val="00BB703E"/>
    <w:rsid w:val="00BB7F05"/>
    <w:rsid w:val="00BC58C7"/>
    <w:rsid w:val="00BC7FC2"/>
    <w:rsid w:val="00BD1D1F"/>
    <w:rsid w:val="00BD3CCB"/>
    <w:rsid w:val="00BD438E"/>
    <w:rsid w:val="00BD552E"/>
    <w:rsid w:val="00BD7CCA"/>
    <w:rsid w:val="00BE06C7"/>
    <w:rsid w:val="00BE10C8"/>
    <w:rsid w:val="00BE1465"/>
    <w:rsid w:val="00BE2E90"/>
    <w:rsid w:val="00BE3464"/>
    <w:rsid w:val="00BE3E3E"/>
    <w:rsid w:val="00BE5EFE"/>
    <w:rsid w:val="00BE7EF1"/>
    <w:rsid w:val="00BF16A2"/>
    <w:rsid w:val="00BF328E"/>
    <w:rsid w:val="00BF45AB"/>
    <w:rsid w:val="00BF53F2"/>
    <w:rsid w:val="00BF5774"/>
    <w:rsid w:val="00BF6B4C"/>
    <w:rsid w:val="00BF745F"/>
    <w:rsid w:val="00BF7968"/>
    <w:rsid w:val="00C02370"/>
    <w:rsid w:val="00C0264C"/>
    <w:rsid w:val="00C04B97"/>
    <w:rsid w:val="00C0509C"/>
    <w:rsid w:val="00C05402"/>
    <w:rsid w:val="00C0648E"/>
    <w:rsid w:val="00C1017F"/>
    <w:rsid w:val="00C1159C"/>
    <w:rsid w:val="00C11966"/>
    <w:rsid w:val="00C1439C"/>
    <w:rsid w:val="00C1706E"/>
    <w:rsid w:val="00C22447"/>
    <w:rsid w:val="00C300AB"/>
    <w:rsid w:val="00C31B42"/>
    <w:rsid w:val="00C33256"/>
    <w:rsid w:val="00C36A05"/>
    <w:rsid w:val="00C3773E"/>
    <w:rsid w:val="00C45EAC"/>
    <w:rsid w:val="00C5088D"/>
    <w:rsid w:val="00C56A4E"/>
    <w:rsid w:val="00C5789A"/>
    <w:rsid w:val="00C6396F"/>
    <w:rsid w:val="00C64AA3"/>
    <w:rsid w:val="00C65A30"/>
    <w:rsid w:val="00C7278D"/>
    <w:rsid w:val="00C767FA"/>
    <w:rsid w:val="00C7716F"/>
    <w:rsid w:val="00C823CD"/>
    <w:rsid w:val="00C83F4C"/>
    <w:rsid w:val="00C84EBC"/>
    <w:rsid w:val="00C866B8"/>
    <w:rsid w:val="00C8799B"/>
    <w:rsid w:val="00C91BBB"/>
    <w:rsid w:val="00C92260"/>
    <w:rsid w:val="00C94DF1"/>
    <w:rsid w:val="00C9633C"/>
    <w:rsid w:val="00CA0668"/>
    <w:rsid w:val="00CA0CB0"/>
    <w:rsid w:val="00CA20F6"/>
    <w:rsid w:val="00CA4206"/>
    <w:rsid w:val="00CA5920"/>
    <w:rsid w:val="00CA66A5"/>
    <w:rsid w:val="00CA794F"/>
    <w:rsid w:val="00CB5022"/>
    <w:rsid w:val="00CB6EE0"/>
    <w:rsid w:val="00CC29D6"/>
    <w:rsid w:val="00CC7364"/>
    <w:rsid w:val="00CD1E7E"/>
    <w:rsid w:val="00CD495F"/>
    <w:rsid w:val="00CD4DCC"/>
    <w:rsid w:val="00CD545E"/>
    <w:rsid w:val="00CD5535"/>
    <w:rsid w:val="00CD64B1"/>
    <w:rsid w:val="00CD7FA1"/>
    <w:rsid w:val="00CE0108"/>
    <w:rsid w:val="00CE1393"/>
    <w:rsid w:val="00CE4DA8"/>
    <w:rsid w:val="00CE592C"/>
    <w:rsid w:val="00CE6A40"/>
    <w:rsid w:val="00CE7E18"/>
    <w:rsid w:val="00CF3B41"/>
    <w:rsid w:val="00D034F3"/>
    <w:rsid w:val="00D1033A"/>
    <w:rsid w:val="00D10E2B"/>
    <w:rsid w:val="00D1391E"/>
    <w:rsid w:val="00D151AA"/>
    <w:rsid w:val="00D15368"/>
    <w:rsid w:val="00D1598D"/>
    <w:rsid w:val="00D1771C"/>
    <w:rsid w:val="00D20EDE"/>
    <w:rsid w:val="00D2437A"/>
    <w:rsid w:val="00D27A5C"/>
    <w:rsid w:val="00D300B4"/>
    <w:rsid w:val="00D3148F"/>
    <w:rsid w:val="00D320B1"/>
    <w:rsid w:val="00D3395B"/>
    <w:rsid w:val="00D33CC1"/>
    <w:rsid w:val="00D33DA0"/>
    <w:rsid w:val="00D350B6"/>
    <w:rsid w:val="00D3773D"/>
    <w:rsid w:val="00D42959"/>
    <w:rsid w:val="00D42A55"/>
    <w:rsid w:val="00D42DB6"/>
    <w:rsid w:val="00D4403E"/>
    <w:rsid w:val="00D452D8"/>
    <w:rsid w:val="00D56DDE"/>
    <w:rsid w:val="00D575CC"/>
    <w:rsid w:val="00D57BF2"/>
    <w:rsid w:val="00D60E0F"/>
    <w:rsid w:val="00D611A7"/>
    <w:rsid w:val="00D62A22"/>
    <w:rsid w:val="00D642CD"/>
    <w:rsid w:val="00D65712"/>
    <w:rsid w:val="00D66043"/>
    <w:rsid w:val="00D67744"/>
    <w:rsid w:val="00D72283"/>
    <w:rsid w:val="00D73541"/>
    <w:rsid w:val="00D73544"/>
    <w:rsid w:val="00D744B1"/>
    <w:rsid w:val="00D759A2"/>
    <w:rsid w:val="00D77430"/>
    <w:rsid w:val="00D811F4"/>
    <w:rsid w:val="00D81558"/>
    <w:rsid w:val="00D83A89"/>
    <w:rsid w:val="00D844A0"/>
    <w:rsid w:val="00D86758"/>
    <w:rsid w:val="00D86C84"/>
    <w:rsid w:val="00D874CA"/>
    <w:rsid w:val="00D9257D"/>
    <w:rsid w:val="00D92FF1"/>
    <w:rsid w:val="00D93014"/>
    <w:rsid w:val="00D94924"/>
    <w:rsid w:val="00D952A2"/>
    <w:rsid w:val="00D97EBD"/>
    <w:rsid w:val="00DA09A0"/>
    <w:rsid w:val="00DA56E4"/>
    <w:rsid w:val="00DA5DD0"/>
    <w:rsid w:val="00DB1904"/>
    <w:rsid w:val="00DB471D"/>
    <w:rsid w:val="00DB67BB"/>
    <w:rsid w:val="00DB6847"/>
    <w:rsid w:val="00DB76D2"/>
    <w:rsid w:val="00DB7FF8"/>
    <w:rsid w:val="00DC084E"/>
    <w:rsid w:val="00DC1A4C"/>
    <w:rsid w:val="00DC3E25"/>
    <w:rsid w:val="00DC3FBB"/>
    <w:rsid w:val="00DC56ED"/>
    <w:rsid w:val="00DC7156"/>
    <w:rsid w:val="00DC73EA"/>
    <w:rsid w:val="00DC75D6"/>
    <w:rsid w:val="00DD01B9"/>
    <w:rsid w:val="00DD1312"/>
    <w:rsid w:val="00DD3B63"/>
    <w:rsid w:val="00DD529B"/>
    <w:rsid w:val="00DD77CD"/>
    <w:rsid w:val="00DE2349"/>
    <w:rsid w:val="00DE35AE"/>
    <w:rsid w:val="00DE7178"/>
    <w:rsid w:val="00DF036B"/>
    <w:rsid w:val="00DF18AB"/>
    <w:rsid w:val="00DF21C3"/>
    <w:rsid w:val="00DF3D9B"/>
    <w:rsid w:val="00DF60AA"/>
    <w:rsid w:val="00E00EAE"/>
    <w:rsid w:val="00E03A02"/>
    <w:rsid w:val="00E04439"/>
    <w:rsid w:val="00E10C86"/>
    <w:rsid w:val="00E1175A"/>
    <w:rsid w:val="00E20A4C"/>
    <w:rsid w:val="00E271B0"/>
    <w:rsid w:val="00E33A86"/>
    <w:rsid w:val="00E34930"/>
    <w:rsid w:val="00E378FB"/>
    <w:rsid w:val="00E40F73"/>
    <w:rsid w:val="00E418F5"/>
    <w:rsid w:val="00E43169"/>
    <w:rsid w:val="00E43929"/>
    <w:rsid w:val="00E4658E"/>
    <w:rsid w:val="00E46FBA"/>
    <w:rsid w:val="00E47638"/>
    <w:rsid w:val="00E521D1"/>
    <w:rsid w:val="00E53046"/>
    <w:rsid w:val="00E533AB"/>
    <w:rsid w:val="00E541B6"/>
    <w:rsid w:val="00E5424D"/>
    <w:rsid w:val="00E54B7C"/>
    <w:rsid w:val="00E5525D"/>
    <w:rsid w:val="00E553A0"/>
    <w:rsid w:val="00E645E4"/>
    <w:rsid w:val="00E6558B"/>
    <w:rsid w:val="00E65D33"/>
    <w:rsid w:val="00E705AE"/>
    <w:rsid w:val="00E71DFB"/>
    <w:rsid w:val="00E728F4"/>
    <w:rsid w:val="00E74A3F"/>
    <w:rsid w:val="00E74A47"/>
    <w:rsid w:val="00E756AB"/>
    <w:rsid w:val="00E756E0"/>
    <w:rsid w:val="00E7742D"/>
    <w:rsid w:val="00E7760B"/>
    <w:rsid w:val="00E83DFB"/>
    <w:rsid w:val="00E84EC9"/>
    <w:rsid w:val="00E86A05"/>
    <w:rsid w:val="00E9229E"/>
    <w:rsid w:val="00E92800"/>
    <w:rsid w:val="00E96759"/>
    <w:rsid w:val="00E975FA"/>
    <w:rsid w:val="00EA0C2F"/>
    <w:rsid w:val="00EA1411"/>
    <w:rsid w:val="00EA41A9"/>
    <w:rsid w:val="00EA4D58"/>
    <w:rsid w:val="00EA65A7"/>
    <w:rsid w:val="00EA6F21"/>
    <w:rsid w:val="00EA7F9B"/>
    <w:rsid w:val="00EB010B"/>
    <w:rsid w:val="00EB158C"/>
    <w:rsid w:val="00EB4251"/>
    <w:rsid w:val="00EB47EF"/>
    <w:rsid w:val="00EC2152"/>
    <w:rsid w:val="00EC3635"/>
    <w:rsid w:val="00EC38E0"/>
    <w:rsid w:val="00EC4A3F"/>
    <w:rsid w:val="00EC506D"/>
    <w:rsid w:val="00EC527E"/>
    <w:rsid w:val="00EC534B"/>
    <w:rsid w:val="00EC5795"/>
    <w:rsid w:val="00EC7475"/>
    <w:rsid w:val="00ED195D"/>
    <w:rsid w:val="00ED2821"/>
    <w:rsid w:val="00ED2CC7"/>
    <w:rsid w:val="00ED61F4"/>
    <w:rsid w:val="00ED6400"/>
    <w:rsid w:val="00ED6DE2"/>
    <w:rsid w:val="00EE075A"/>
    <w:rsid w:val="00EE4C6D"/>
    <w:rsid w:val="00EE5430"/>
    <w:rsid w:val="00EE55D0"/>
    <w:rsid w:val="00EF2118"/>
    <w:rsid w:val="00EF35BF"/>
    <w:rsid w:val="00F021A8"/>
    <w:rsid w:val="00F05421"/>
    <w:rsid w:val="00F05B0B"/>
    <w:rsid w:val="00F07327"/>
    <w:rsid w:val="00F1261E"/>
    <w:rsid w:val="00F12A9C"/>
    <w:rsid w:val="00F14161"/>
    <w:rsid w:val="00F1490A"/>
    <w:rsid w:val="00F14A61"/>
    <w:rsid w:val="00F206A1"/>
    <w:rsid w:val="00F2249E"/>
    <w:rsid w:val="00F24176"/>
    <w:rsid w:val="00F25D86"/>
    <w:rsid w:val="00F26450"/>
    <w:rsid w:val="00F27287"/>
    <w:rsid w:val="00F30A70"/>
    <w:rsid w:val="00F30F85"/>
    <w:rsid w:val="00F31A46"/>
    <w:rsid w:val="00F347D7"/>
    <w:rsid w:val="00F35247"/>
    <w:rsid w:val="00F35985"/>
    <w:rsid w:val="00F36A83"/>
    <w:rsid w:val="00F376C0"/>
    <w:rsid w:val="00F424A3"/>
    <w:rsid w:val="00F42EE6"/>
    <w:rsid w:val="00F43342"/>
    <w:rsid w:val="00F43864"/>
    <w:rsid w:val="00F5009C"/>
    <w:rsid w:val="00F5105F"/>
    <w:rsid w:val="00F51E8A"/>
    <w:rsid w:val="00F51EAE"/>
    <w:rsid w:val="00F534D8"/>
    <w:rsid w:val="00F53AEB"/>
    <w:rsid w:val="00F57691"/>
    <w:rsid w:val="00F638DB"/>
    <w:rsid w:val="00F6393B"/>
    <w:rsid w:val="00F64FC0"/>
    <w:rsid w:val="00F650AA"/>
    <w:rsid w:val="00F663AB"/>
    <w:rsid w:val="00F72624"/>
    <w:rsid w:val="00F75256"/>
    <w:rsid w:val="00F75DB5"/>
    <w:rsid w:val="00F82E9F"/>
    <w:rsid w:val="00F86E0F"/>
    <w:rsid w:val="00F91F59"/>
    <w:rsid w:val="00F92392"/>
    <w:rsid w:val="00F931A9"/>
    <w:rsid w:val="00F93A74"/>
    <w:rsid w:val="00F94EB3"/>
    <w:rsid w:val="00F96CA7"/>
    <w:rsid w:val="00FA163E"/>
    <w:rsid w:val="00FA44BD"/>
    <w:rsid w:val="00FB60B3"/>
    <w:rsid w:val="00FB738C"/>
    <w:rsid w:val="00FB7A29"/>
    <w:rsid w:val="00FB7ACC"/>
    <w:rsid w:val="00FC01EC"/>
    <w:rsid w:val="00FC052D"/>
    <w:rsid w:val="00FC1F13"/>
    <w:rsid w:val="00FC58C5"/>
    <w:rsid w:val="00FC5A30"/>
    <w:rsid w:val="00FC6FEE"/>
    <w:rsid w:val="00FD113F"/>
    <w:rsid w:val="00FD1ADD"/>
    <w:rsid w:val="00FD38E2"/>
    <w:rsid w:val="00FD4894"/>
    <w:rsid w:val="00FE17DC"/>
    <w:rsid w:val="00FE249D"/>
    <w:rsid w:val="00FE3160"/>
    <w:rsid w:val="00FE3B55"/>
    <w:rsid w:val="00FE3FB3"/>
    <w:rsid w:val="00FE5E09"/>
    <w:rsid w:val="00FF22A7"/>
    <w:rsid w:val="00FF3459"/>
    <w:rsid w:val="00FF346B"/>
    <w:rsid w:val="00FF34A9"/>
    <w:rsid w:val="00FF34F3"/>
    <w:rsid w:val="00FF4CCB"/>
    <w:rsid w:val="00FF4CD3"/>
    <w:rsid w:val="00FF6BEE"/>
    <w:rsid w:val="00FF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C6848"/>
    <w:pPr>
      <w:ind w:left="374"/>
      <w:jc w:val="both"/>
    </w:pPr>
    <w:rPr>
      <w:sz w:val="22"/>
      <w:szCs w:val="22"/>
    </w:rPr>
  </w:style>
  <w:style w:type="paragraph" w:styleId="Heading1">
    <w:name w:val="heading 1"/>
    <w:basedOn w:val="Normal"/>
    <w:next w:val="Normal"/>
    <w:qFormat/>
    <w:rsid w:val="00EC527E"/>
    <w:pPr>
      <w:keepNext/>
      <w:outlineLvl w:val="0"/>
    </w:pPr>
    <w:rPr>
      <w:b/>
      <w:bCs/>
    </w:rPr>
  </w:style>
  <w:style w:type="paragraph" w:styleId="Heading2">
    <w:name w:val="heading 2"/>
    <w:basedOn w:val="Normal"/>
    <w:next w:val="Normal"/>
    <w:qFormat/>
    <w:rsid w:val="00EC527E"/>
    <w:pPr>
      <w:keepNext/>
      <w:autoSpaceDE w:val="0"/>
      <w:autoSpaceDN w:val="0"/>
      <w:ind w:left="540" w:hanging="540"/>
      <w:outlineLvl w:val="1"/>
    </w:pPr>
    <w:rPr>
      <w:rFonts w:ascii="Arial Narrow" w:hAnsi="Arial Narrow"/>
      <w:b/>
      <w:bCs/>
      <w:sz w:val="20"/>
      <w:lang w:val="en-GB"/>
    </w:rPr>
  </w:style>
  <w:style w:type="paragraph" w:styleId="Heading3">
    <w:name w:val="heading 3"/>
    <w:basedOn w:val="Normal"/>
    <w:next w:val="Normal"/>
    <w:link w:val="Heading3Char"/>
    <w:qFormat/>
    <w:rsid w:val="00EC527E"/>
    <w:pPr>
      <w:keepNext/>
      <w:outlineLvl w:val="2"/>
    </w:pPr>
    <w:rPr>
      <w:b/>
      <w:bCs/>
    </w:rPr>
  </w:style>
  <w:style w:type="paragraph" w:styleId="Heading4">
    <w:name w:val="heading 4"/>
    <w:basedOn w:val="Normal"/>
    <w:next w:val="Normal"/>
    <w:qFormat/>
    <w:rsid w:val="00EC527E"/>
    <w:pPr>
      <w:keepNext/>
      <w:outlineLvl w:val="3"/>
    </w:pPr>
    <w:rPr>
      <w:b/>
      <w:bCs/>
      <w:u w:val="single"/>
    </w:rPr>
  </w:style>
  <w:style w:type="paragraph" w:styleId="Heading5">
    <w:name w:val="heading 5"/>
    <w:basedOn w:val="Normal"/>
    <w:next w:val="Normal"/>
    <w:qFormat/>
    <w:rsid w:val="00EC527E"/>
    <w:pPr>
      <w:keepNext/>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527E"/>
    <w:pPr>
      <w:autoSpaceDE w:val="0"/>
      <w:autoSpaceDN w:val="0"/>
      <w:ind w:left="540" w:hanging="540"/>
    </w:pPr>
    <w:rPr>
      <w:rFonts w:ascii="Arial Narrow" w:hAnsi="Arial Narrow"/>
      <w:sz w:val="20"/>
      <w:lang w:val="en-GB"/>
    </w:rPr>
  </w:style>
  <w:style w:type="paragraph" w:styleId="BodyTextIndent3">
    <w:name w:val="Body Text Indent 3"/>
    <w:basedOn w:val="Normal"/>
    <w:rsid w:val="00EC527E"/>
    <w:pPr>
      <w:autoSpaceDE w:val="0"/>
      <w:autoSpaceDN w:val="0"/>
      <w:ind w:left="540" w:hanging="540"/>
    </w:pPr>
    <w:rPr>
      <w:rFonts w:ascii="Arial Narrow" w:hAnsi="Arial Narrow"/>
      <w:sz w:val="20"/>
      <w:lang w:val="en-GB"/>
    </w:rPr>
  </w:style>
  <w:style w:type="paragraph" w:customStyle="1" w:styleId="xl28">
    <w:name w:val="xl28"/>
    <w:basedOn w:val="Normal"/>
    <w:rsid w:val="00EC527E"/>
    <w:pPr>
      <w:spacing w:before="100" w:beforeAutospacing="1" w:after="100" w:afterAutospacing="1"/>
      <w:textAlignment w:val="center"/>
    </w:pPr>
  </w:style>
  <w:style w:type="paragraph" w:customStyle="1" w:styleId="xl29">
    <w:name w:val="xl29"/>
    <w:basedOn w:val="Normal"/>
    <w:rsid w:val="00EC527E"/>
    <w:pPr>
      <w:spacing w:before="100" w:beforeAutospacing="1" w:after="100" w:afterAutospacing="1"/>
      <w:textAlignment w:val="center"/>
    </w:pPr>
    <w:rPr>
      <w:i/>
      <w:iCs/>
    </w:rPr>
  </w:style>
  <w:style w:type="paragraph" w:customStyle="1" w:styleId="xl30">
    <w:name w:val="xl30"/>
    <w:basedOn w:val="Normal"/>
    <w:rsid w:val="00EC527E"/>
    <w:pPr>
      <w:spacing w:before="100" w:beforeAutospacing="1" w:after="100" w:afterAutospacing="1"/>
      <w:textAlignment w:val="center"/>
    </w:pPr>
    <w:rPr>
      <w:i/>
      <w:iCs/>
    </w:rPr>
  </w:style>
  <w:style w:type="paragraph" w:customStyle="1" w:styleId="xl31">
    <w:name w:val="xl31"/>
    <w:basedOn w:val="Normal"/>
    <w:rsid w:val="00EC527E"/>
    <w:pPr>
      <w:spacing w:before="100" w:beforeAutospacing="1" w:after="100" w:afterAutospacing="1"/>
      <w:jc w:val="center"/>
      <w:textAlignment w:val="center"/>
    </w:pPr>
    <w:rPr>
      <w:i/>
      <w:iCs/>
    </w:rPr>
  </w:style>
  <w:style w:type="paragraph" w:customStyle="1" w:styleId="xl32">
    <w:name w:val="xl32"/>
    <w:basedOn w:val="Normal"/>
    <w:rsid w:val="00EC527E"/>
    <w:pPr>
      <w:spacing w:before="100" w:beforeAutospacing="1" w:after="100" w:afterAutospacing="1"/>
      <w:jc w:val="center"/>
      <w:textAlignment w:val="center"/>
    </w:pPr>
    <w:rPr>
      <w:i/>
      <w:iCs/>
    </w:rPr>
  </w:style>
  <w:style w:type="paragraph" w:customStyle="1" w:styleId="xl33">
    <w:name w:val="xl33"/>
    <w:basedOn w:val="Normal"/>
    <w:rsid w:val="00EC527E"/>
    <w:pPr>
      <w:pBdr>
        <w:bottom w:val="single" w:sz="4" w:space="0" w:color="auto"/>
      </w:pBdr>
      <w:spacing w:before="100" w:beforeAutospacing="1" w:after="100" w:afterAutospacing="1"/>
      <w:jc w:val="center"/>
      <w:textAlignment w:val="center"/>
    </w:pPr>
    <w:rPr>
      <w:i/>
      <w:iCs/>
    </w:rPr>
  </w:style>
  <w:style w:type="paragraph" w:customStyle="1" w:styleId="xl34">
    <w:name w:val="xl34"/>
    <w:basedOn w:val="Normal"/>
    <w:rsid w:val="00EC527E"/>
    <w:pPr>
      <w:spacing w:before="100" w:beforeAutospacing="1" w:after="100" w:afterAutospacing="1"/>
      <w:jc w:val="center"/>
      <w:textAlignment w:val="center"/>
    </w:pPr>
    <w:rPr>
      <w:i/>
      <w:iCs/>
    </w:rPr>
  </w:style>
  <w:style w:type="paragraph" w:customStyle="1" w:styleId="xl35">
    <w:name w:val="xl35"/>
    <w:basedOn w:val="Normal"/>
    <w:rsid w:val="00EC527E"/>
    <w:pPr>
      <w:pBdr>
        <w:bottom w:val="single" w:sz="4" w:space="0" w:color="auto"/>
      </w:pBdr>
      <w:spacing w:before="100" w:beforeAutospacing="1" w:after="100" w:afterAutospacing="1"/>
      <w:jc w:val="center"/>
      <w:textAlignment w:val="center"/>
    </w:pPr>
    <w:rPr>
      <w:i/>
      <w:iCs/>
    </w:rPr>
  </w:style>
  <w:style w:type="paragraph" w:customStyle="1" w:styleId="xl36">
    <w:name w:val="xl36"/>
    <w:basedOn w:val="Normal"/>
    <w:rsid w:val="00EC527E"/>
    <w:pPr>
      <w:spacing w:before="100" w:beforeAutospacing="1" w:after="100" w:afterAutospacing="1"/>
      <w:jc w:val="center"/>
      <w:textAlignment w:val="center"/>
    </w:pPr>
    <w:rPr>
      <w:i/>
      <w:iCs/>
    </w:rPr>
  </w:style>
  <w:style w:type="paragraph" w:customStyle="1" w:styleId="xl37">
    <w:name w:val="xl37"/>
    <w:basedOn w:val="Normal"/>
    <w:rsid w:val="00EC527E"/>
    <w:pPr>
      <w:spacing w:before="100" w:beforeAutospacing="1" w:after="100" w:afterAutospacing="1"/>
      <w:textAlignment w:val="center"/>
    </w:pPr>
    <w:rPr>
      <w:i/>
      <w:iCs/>
    </w:rPr>
  </w:style>
  <w:style w:type="paragraph" w:customStyle="1" w:styleId="xl38">
    <w:name w:val="xl38"/>
    <w:basedOn w:val="Normal"/>
    <w:rsid w:val="00EC527E"/>
    <w:pPr>
      <w:spacing w:before="100" w:beforeAutospacing="1" w:after="100" w:afterAutospacing="1"/>
      <w:textAlignment w:val="center"/>
    </w:pPr>
    <w:rPr>
      <w:i/>
      <w:iCs/>
    </w:rPr>
  </w:style>
  <w:style w:type="paragraph" w:customStyle="1" w:styleId="xl39">
    <w:name w:val="xl39"/>
    <w:basedOn w:val="Normal"/>
    <w:rsid w:val="00EC527E"/>
    <w:pPr>
      <w:spacing w:before="100" w:beforeAutospacing="1" w:after="100" w:afterAutospacing="1"/>
      <w:textAlignment w:val="center"/>
    </w:pPr>
  </w:style>
  <w:style w:type="paragraph" w:customStyle="1" w:styleId="xl40">
    <w:name w:val="xl40"/>
    <w:basedOn w:val="Normal"/>
    <w:rsid w:val="00EC527E"/>
    <w:pPr>
      <w:spacing w:before="100" w:beforeAutospacing="1" w:after="100" w:afterAutospacing="1"/>
      <w:textAlignment w:val="center"/>
    </w:pPr>
    <w:rPr>
      <w:u w:val="single"/>
    </w:rPr>
  </w:style>
  <w:style w:type="paragraph" w:styleId="Header">
    <w:name w:val="header"/>
    <w:basedOn w:val="Normal"/>
    <w:rsid w:val="00EC527E"/>
    <w:pPr>
      <w:tabs>
        <w:tab w:val="center" w:pos="4320"/>
        <w:tab w:val="right" w:pos="8640"/>
      </w:tabs>
    </w:pPr>
  </w:style>
  <w:style w:type="paragraph" w:styleId="Footer">
    <w:name w:val="footer"/>
    <w:basedOn w:val="Normal"/>
    <w:rsid w:val="00EC527E"/>
    <w:pPr>
      <w:tabs>
        <w:tab w:val="center" w:pos="4320"/>
        <w:tab w:val="right" w:pos="8640"/>
      </w:tabs>
    </w:pPr>
  </w:style>
  <w:style w:type="character" w:styleId="Hyperlink">
    <w:name w:val="Hyperlink"/>
    <w:rsid w:val="00EC527E"/>
    <w:rPr>
      <w:color w:val="0000FF"/>
      <w:u w:val="single"/>
    </w:rPr>
  </w:style>
  <w:style w:type="paragraph" w:styleId="Caption">
    <w:name w:val="caption"/>
    <w:basedOn w:val="Normal"/>
    <w:next w:val="Normal"/>
    <w:qFormat/>
    <w:rsid w:val="00EC527E"/>
    <w:rPr>
      <w:b/>
      <w:bCs/>
    </w:rPr>
  </w:style>
  <w:style w:type="paragraph" w:styleId="BodyTextIndent2">
    <w:name w:val="Body Text Indent 2"/>
    <w:basedOn w:val="Normal"/>
    <w:rsid w:val="00EC527E"/>
    <w:pPr>
      <w:ind w:left="561"/>
    </w:pPr>
  </w:style>
  <w:style w:type="paragraph" w:styleId="BalloonText">
    <w:name w:val="Balloon Text"/>
    <w:basedOn w:val="Normal"/>
    <w:semiHidden/>
    <w:rsid w:val="00CA0668"/>
    <w:rPr>
      <w:rFonts w:ascii="Tahoma" w:hAnsi="Tahoma" w:cs="Tahoma"/>
      <w:sz w:val="16"/>
      <w:szCs w:val="16"/>
    </w:rPr>
  </w:style>
  <w:style w:type="paragraph" w:customStyle="1" w:styleId="Default">
    <w:name w:val="Default"/>
    <w:rsid w:val="00CD495F"/>
    <w:pPr>
      <w:autoSpaceDE w:val="0"/>
      <w:autoSpaceDN w:val="0"/>
      <w:adjustRightInd w:val="0"/>
    </w:pPr>
    <w:rPr>
      <w:rFonts w:ascii="Arial" w:hAnsi="Arial" w:cs="Arial"/>
      <w:color w:val="000000"/>
      <w:sz w:val="24"/>
      <w:szCs w:val="24"/>
    </w:rPr>
  </w:style>
  <w:style w:type="paragraph" w:customStyle="1" w:styleId="Heading">
    <w:name w:val="Heading"/>
    <w:basedOn w:val="Heading3"/>
    <w:link w:val="HeadingChar"/>
    <w:autoRedefine/>
    <w:rsid w:val="00EE5430"/>
    <w:pPr>
      <w:spacing w:before="480" w:after="120"/>
    </w:pPr>
  </w:style>
  <w:style w:type="character" w:customStyle="1" w:styleId="Heading3Char">
    <w:name w:val="Heading 3 Char"/>
    <w:link w:val="Heading3"/>
    <w:rsid w:val="001D4A1C"/>
    <w:rPr>
      <w:b/>
      <w:bCs/>
      <w:sz w:val="22"/>
      <w:szCs w:val="22"/>
      <w:lang w:val="en-US" w:eastAsia="en-US" w:bidi="ar-SA"/>
    </w:rPr>
  </w:style>
  <w:style w:type="character" w:customStyle="1" w:styleId="HeadingChar">
    <w:name w:val="Heading Char"/>
    <w:basedOn w:val="Heading3Char"/>
    <w:link w:val="Heading"/>
    <w:rsid w:val="00EE5430"/>
  </w:style>
  <w:style w:type="paragraph" w:customStyle="1" w:styleId="Text">
    <w:name w:val="Text"/>
    <w:basedOn w:val="Normal"/>
    <w:link w:val="TextChar"/>
    <w:autoRedefine/>
    <w:rsid w:val="009D2559"/>
    <w:pPr>
      <w:spacing w:before="120" w:after="240"/>
    </w:pPr>
  </w:style>
  <w:style w:type="character" w:customStyle="1" w:styleId="TextChar">
    <w:name w:val="Text Char"/>
    <w:link w:val="Text"/>
    <w:rsid w:val="009D2559"/>
    <w:rPr>
      <w:sz w:val="22"/>
      <w:szCs w:val="22"/>
      <w:lang w:val="en-US" w:eastAsia="en-US" w:bidi="ar-SA"/>
    </w:rPr>
  </w:style>
  <w:style w:type="character" w:styleId="CommentReference">
    <w:name w:val="annotation reference"/>
    <w:semiHidden/>
    <w:rsid w:val="00097CA8"/>
    <w:rPr>
      <w:sz w:val="16"/>
      <w:szCs w:val="16"/>
    </w:rPr>
  </w:style>
  <w:style w:type="paragraph" w:styleId="CommentText">
    <w:name w:val="annotation text"/>
    <w:basedOn w:val="Normal"/>
    <w:semiHidden/>
    <w:rsid w:val="00097CA8"/>
    <w:rPr>
      <w:sz w:val="20"/>
      <w:szCs w:val="20"/>
    </w:rPr>
  </w:style>
  <w:style w:type="paragraph" w:styleId="CommentSubject">
    <w:name w:val="annotation subject"/>
    <w:basedOn w:val="CommentText"/>
    <w:next w:val="CommentText"/>
    <w:semiHidden/>
    <w:rsid w:val="00097CA8"/>
    <w:rPr>
      <w:b/>
      <w:bCs/>
    </w:rPr>
  </w:style>
  <w:style w:type="paragraph" w:customStyle="1" w:styleId="1">
    <w:name w:val="1"/>
    <w:basedOn w:val="Normal"/>
    <w:rsid w:val="00DC73EA"/>
    <w:pPr>
      <w:widowControl w:val="0"/>
      <w:adjustRightInd w:val="0"/>
      <w:spacing w:after="160" w:line="240" w:lineRule="exact"/>
      <w:ind w:left="0"/>
      <w:jc w:val="left"/>
      <w:textAlignment w:val="baseline"/>
    </w:pPr>
    <w:rPr>
      <w:rFonts w:ascii="Verdana" w:eastAsia="SimSun" w:hAnsi="Verdan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3550598">
      <w:bodyDiv w:val="1"/>
      <w:marLeft w:val="0"/>
      <w:marRight w:val="0"/>
      <w:marTop w:val="0"/>
      <w:marBottom w:val="0"/>
      <w:divBdr>
        <w:top w:val="none" w:sz="0" w:space="0" w:color="auto"/>
        <w:left w:val="none" w:sz="0" w:space="0" w:color="auto"/>
        <w:bottom w:val="none" w:sz="0" w:space="0" w:color="auto"/>
        <w:right w:val="none" w:sz="0" w:space="0" w:color="auto"/>
      </w:divBdr>
    </w:div>
    <w:div w:id="1192037487">
      <w:bodyDiv w:val="1"/>
      <w:marLeft w:val="0"/>
      <w:marRight w:val="0"/>
      <w:marTop w:val="0"/>
      <w:marBottom w:val="0"/>
      <w:divBdr>
        <w:top w:val="none" w:sz="0" w:space="0" w:color="auto"/>
        <w:left w:val="none" w:sz="0" w:space="0" w:color="auto"/>
        <w:bottom w:val="none" w:sz="0" w:space="0" w:color="auto"/>
        <w:right w:val="none" w:sz="0" w:space="0" w:color="auto"/>
      </w:divBdr>
    </w:div>
    <w:div w:id="20199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wmf"/><Relationship Id="rId18" Type="http://schemas.openxmlformats.org/officeDocument/2006/relationships/oleObject" Target="embeddings/Microsoft_Office_Excel_97-2003_Worksheet6.xls"/><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Office_Excel_97-2003_Worksheet5.xls"/><Relationship Id="rId20" Type="http://schemas.openxmlformats.org/officeDocument/2006/relationships/oleObject" Target="embeddings/Microsoft_Office_Excel_97-2003_Worksheet7.xls"/><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Office_Excel_97-2003_Worksheet4.xls"/><Relationship Id="rId22" Type="http://schemas.openxmlformats.org/officeDocument/2006/relationships/oleObject" Target="embeddings/Microsoft_Office_Excel_97-2003_Worksheet8.xls"/><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1540</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BASIS OF PREPARATION</vt:lpstr>
    </vt:vector>
  </TitlesOfParts>
  <Company>cardon</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PREPARATION</dc:title>
  <dc:subject/>
  <dc:creator>mohamed hafidz mohd salleh</dc:creator>
  <cp:keywords/>
  <cp:lastModifiedBy>Irene</cp:lastModifiedBy>
  <cp:revision>3</cp:revision>
  <cp:lastPrinted>2012-02-28T10:12:00Z</cp:lastPrinted>
  <dcterms:created xsi:type="dcterms:W3CDTF">2012-02-28T10:12:00Z</dcterms:created>
  <dcterms:modified xsi:type="dcterms:W3CDTF">2012-02-28T10:14:00Z</dcterms:modified>
</cp:coreProperties>
</file>